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850"/>
        <w:gridCol w:w="2690"/>
        <w:gridCol w:w="1575"/>
        <w:gridCol w:w="31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天津银行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</w:rPr>
              <w:t>询证函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业务企业划型确认单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spacing w:line="360" w:lineRule="auto"/>
              <w:ind w:firstLine="6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为落实减费让利政策，我行参照工业和信息化部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等多部门联合发布的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中小企业划型标准规定》，对在我行办理单位人民币结算账户业务的各种组织形式的法人企业、单位或个体工商户开展企业划型。现需采集您的从业人员、营业收入、资产总额等指标或替代指标，具体信息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单位名称：</w:t>
            </w:r>
          </w:p>
        </w:tc>
        <w:tc>
          <w:tcPr>
            <w:tcW w:w="26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账号：</w:t>
            </w:r>
          </w:p>
        </w:tc>
        <w:tc>
          <w:tcPr>
            <w:tcW w:w="31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exac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行业分类：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FFFF"/>
                <w:kern w:val="0"/>
                <w:sz w:val="30"/>
                <w:szCs w:val="30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exact"/>
          <w:jc w:val="center"/>
        </w:trPr>
        <w:tc>
          <w:tcPr>
            <w:tcW w:w="6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从业人员数量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（从业人员指期末从业人员数，没有期末从业人员数的，采用全年平均人员数代替）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exact"/>
          <w:jc w:val="center"/>
        </w:trPr>
        <w:tc>
          <w:tcPr>
            <w:tcW w:w="6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资产总额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90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（资产总额采用资产总计代替）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参考划型标准，贵单位在我行将被划分为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型企业。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61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单位公章：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年   月   日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</w:p>
    <w:p>
      <w:pPr>
        <w:widowControl/>
        <w:spacing w:line="330" w:lineRule="atLeas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统计上大中小微型企业划分标准</w:t>
      </w:r>
    </w:p>
    <w:tbl>
      <w:tblPr>
        <w:tblStyle w:val="4"/>
        <w:tblW w:w="88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369"/>
        <w:gridCol w:w="709"/>
        <w:gridCol w:w="1125"/>
        <w:gridCol w:w="1701"/>
        <w:gridCol w:w="142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工业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交通运输业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信息传输业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其他未列明行业 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E3C8E"/>
    <w:rsid w:val="05CC6ABD"/>
    <w:rsid w:val="0ABE3C8E"/>
    <w:rsid w:val="22F82C34"/>
    <w:rsid w:val="34781CC3"/>
    <w:rsid w:val="4FE967DF"/>
    <w:rsid w:val="655F791F"/>
    <w:rsid w:val="676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2022-10-25T07:47:00Z</dcterms:created>
  <dc:creator>申文汐(运营管理部)</dc:creator>
  <cp:lastModifiedBy>田婕(拟稿)</cp:lastModifiedBy>
  <dcterms:modified xsi:type="dcterms:W3CDTF">2022-10-28T09:15:33Z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