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FF" w:rsidRDefault="00AB252A">
      <w:pPr>
        <w:ind w:leftChars="-85" w:left="-178" w:rightChars="-57" w:right="-120"/>
        <w:jc w:val="center"/>
        <w:rPr>
          <w:rFonts w:ascii="仿宋" w:eastAsia="仿宋" w:hAnsi="仿宋"/>
          <w:b/>
          <w:kern w:val="0"/>
          <w:sz w:val="32"/>
          <w:szCs w:val="32"/>
        </w:rPr>
      </w:pPr>
      <w:r>
        <w:rPr>
          <w:rFonts w:ascii="仿宋" w:eastAsia="仿宋" w:hAnsi="仿宋" w:hint="eastAsia"/>
          <w:b/>
          <w:kern w:val="0"/>
          <w:sz w:val="32"/>
          <w:szCs w:val="32"/>
        </w:rPr>
        <w:t>“鸿鼎财富-半年开放净值型6期”理财产品说明书</w:t>
      </w:r>
    </w:p>
    <w:p w:rsidR="00CF79FF" w:rsidRDefault="00AB252A">
      <w:pPr>
        <w:ind w:leftChars="-85" w:left="-178" w:rightChars="-57" w:right="-120"/>
        <w:jc w:val="center"/>
        <w:rPr>
          <w:rFonts w:ascii="仿宋" w:eastAsia="仿宋" w:hAnsi="仿宋"/>
          <w:b/>
          <w:kern w:val="0"/>
          <w:sz w:val="28"/>
          <w:szCs w:val="28"/>
        </w:rPr>
      </w:pPr>
      <w:r>
        <w:rPr>
          <w:rFonts w:ascii="仿宋" w:eastAsia="仿宋" w:hAnsi="仿宋" w:hint="eastAsia"/>
          <w:b/>
          <w:sz w:val="24"/>
        </w:rPr>
        <w:t>理财非存款 产品有风险 投资须谨慎</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599"/>
        <w:gridCol w:w="198"/>
        <w:gridCol w:w="164"/>
        <w:gridCol w:w="1821"/>
        <w:gridCol w:w="88"/>
        <w:gridCol w:w="1415"/>
        <w:gridCol w:w="3291"/>
      </w:tblGrid>
      <w:tr w:rsidR="00CF79FF">
        <w:trPr>
          <w:trHeight w:val="851"/>
        </w:trPr>
        <w:tc>
          <w:tcPr>
            <w:tcW w:w="1909" w:type="dxa"/>
            <w:vAlign w:val="center"/>
          </w:tcPr>
          <w:p w:rsidR="00CF79FF" w:rsidRDefault="00AB252A">
            <w:pPr>
              <w:jc w:val="center"/>
              <w:rPr>
                <w:rFonts w:ascii="仿宋" w:eastAsia="仿宋" w:hAnsi="仿宋"/>
                <w:sz w:val="24"/>
                <w:szCs w:val="24"/>
              </w:rPr>
            </w:pPr>
            <w:r>
              <w:rPr>
                <w:rFonts w:ascii="仿宋" w:eastAsia="仿宋" w:hAnsi="仿宋" w:hint="eastAsia"/>
                <w:b/>
                <w:kern w:val="0"/>
                <w:sz w:val="24"/>
                <w:szCs w:val="24"/>
              </w:rPr>
              <w:t>产品名称</w:t>
            </w:r>
          </w:p>
        </w:tc>
        <w:tc>
          <w:tcPr>
            <w:tcW w:w="1961" w:type="dxa"/>
            <w:gridSpan w:val="3"/>
            <w:vAlign w:val="center"/>
          </w:tcPr>
          <w:p w:rsidR="00CF79FF" w:rsidRDefault="00AB252A">
            <w:pPr>
              <w:jc w:val="center"/>
              <w:rPr>
                <w:rFonts w:ascii="仿宋" w:eastAsia="仿宋" w:hAnsi="仿宋"/>
                <w:kern w:val="0"/>
                <w:szCs w:val="21"/>
              </w:rPr>
            </w:pPr>
            <w:proofErr w:type="gramStart"/>
            <w:r>
              <w:rPr>
                <w:rFonts w:ascii="仿宋" w:eastAsia="仿宋" w:hAnsi="仿宋" w:hint="eastAsia"/>
                <w:color w:val="000000"/>
                <w:kern w:val="0"/>
                <w:szCs w:val="21"/>
              </w:rPr>
              <w:t>鸿鼎财富</w:t>
            </w:r>
            <w:proofErr w:type="gramEnd"/>
            <w:r>
              <w:rPr>
                <w:rFonts w:ascii="仿宋" w:eastAsia="仿宋" w:hAnsi="仿宋" w:hint="eastAsia"/>
                <w:color w:val="000000"/>
                <w:kern w:val="0"/>
                <w:szCs w:val="21"/>
              </w:rPr>
              <w:t>-半</w:t>
            </w:r>
            <w:proofErr w:type="gramStart"/>
            <w:r>
              <w:rPr>
                <w:rFonts w:ascii="仿宋" w:eastAsia="仿宋" w:hAnsi="仿宋" w:hint="eastAsia"/>
                <w:color w:val="000000"/>
                <w:kern w:val="0"/>
                <w:szCs w:val="21"/>
              </w:rPr>
              <w:t>年开放</w:t>
            </w:r>
            <w:proofErr w:type="gramEnd"/>
            <w:r>
              <w:rPr>
                <w:rFonts w:ascii="仿宋" w:eastAsia="仿宋" w:hAnsi="仿宋" w:hint="eastAsia"/>
                <w:color w:val="000000"/>
                <w:kern w:val="0"/>
                <w:szCs w:val="21"/>
              </w:rPr>
              <w:t>净值型</w:t>
            </w:r>
            <w:r>
              <w:rPr>
                <w:rFonts w:ascii="仿宋" w:eastAsia="仿宋" w:hAnsi="仿宋"/>
                <w:color w:val="000000"/>
                <w:kern w:val="0"/>
                <w:szCs w:val="21"/>
              </w:rPr>
              <w:t>6</w:t>
            </w:r>
            <w:r>
              <w:rPr>
                <w:rFonts w:ascii="仿宋" w:eastAsia="仿宋" w:hAnsi="仿宋" w:hint="eastAsia"/>
                <w:color w:val="000000"/>
                <w:kern w:val="0"/>
                <w:szCs w:val="21"/>
              </w:rPr>
              <w:t>期</w:t>
            </w:r>
          </w:p>
        </w:tc>
        <w:tc>
          <w:tcPr>
            <w:tcW w:w="1909" w:type="dxa"/>
            <w:gridSpan w:val="2"/>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产品币种</w:t>
            </w:r>
          </w:p>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类型及流动性</w:t>
            </w:r>
          </w:p>
        </w:tc>
        <w:tc>
          <w:tcPr>
            <w:tcW w:w="4706" w:type="dxa"/>
            <w:gridSpan w:val="2"/>
            <w:vAlign w:val="center"/>
          </w:tcPr>
          <w:p w:rsidR="00CF79FF" w:rsidRDefault="00AB252A">
            <w:pPr>
              <w:jc w:val="center"/>
              <w:rPr>
                <w:rFonts w:ascii="仿宋" w:eastAsia="仿宋" w:hAnsi="仿宋"/>
                <w:kern w:val="0"/>
                <w:szCs w:val="21"/>
              </w:rPr>
            </w:pPr>
            <w:r>
              <w:rPr>
                <w:rFonts w:ascii="仿宋" w:eastAsia="仿宋" w:hAnsi="仿宋" w:hint="eastAsia"/>
                <w:kern w:val="0"/>
                <w:szCs w:val="21"/>
              </w:rPr>
              <w:t>人民币</w:t>
            </w:r>
          </w:p>
          <w:p w:rsidR="00CF79FF" w:rsidRDefault="00AB252A">
            <w:pPr>
              <w:jc w:val="center"/>
              <w:rPr>
                <w:rFonts w:ascii="仿宋" w:eastAsia="仿宋" w:hAnsi="仿宋"/>
                <w:kern w:val="0"/>
                <w:szCs w:val="21"/>
                <w:u w:val="wave"/>
              </w:rPr>
            </w:pPr>
            <w:r>
              <w:rPr>
                <w:rFonts w:ascii="仿宋" w:eastAsia="仿宋" w:hAnsi="仿宋" w:hint="eastAsia"/>
                <w:kern w:val="0"/>
                <w:szCs w:val="21"/>
              </w:rPr>
              <w:t>固定收益类-非保本浮动收益开放式净值型</w:t>
            </w:r>
          </w:p>
        </w:tc>
      </w:tr>
      <w:tr w:rsidR="00CF79FF">
        <w:trPr>
          <w:trHeight w:val="851"/>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产品编号</w:t>
            </w:r>
          </w:p>
        </w:tc>
        <w:tc>
          <w:tcPr>
            <w:tcW w:w="1961" w:type="dxa"/>
            <w:gridSpan w:val="3"/>
            <w:vAlign w:val="center"/>
          </w:tcPr>
          <w:p w:rsidR="00CF79FF" w:rsidRDefault="00AB252A">
            <w:pPr>
              <w:jc w:val="center"/>
              <w:rPr>
                <w:rFonts w:ascii="仿宋" w:eastAsia="仿宋" w:hAnsi="仿宋"/>
                <w:kern w:val="0"/>
                <w:szCs w:val="21"/>
              </w:rPr>
            </w:pPr>
            <w:r>
              <w:rPr>
                <w:rFonts w:ascii="仿宋" w:eastAsia="仿宋" w:hAnsi="仿宋"/>
                <w:kern w:val="0"/>
                <w:szCs w:val="21"/>
              </w:rPr>
              <w:t>HD6M006</w:t>
            </w:r>
          </w:p>
        </w:tc>
        <w:tc>
          <w:tcPr>
            <w:tcW w:w="1909" w:type="dxa"/>
            <w:gridSpan w:val="2"/>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产品登记编码</w:t>
            </w:r>
          </w:p>
        </w:tc>
        <w:tc>
          <w:tcPr>
            <w:tcW w:w="4706" w:type="dxa"/>
            <w:gridSpan w:val="2"/>
            <w:vAlign w:val="center"/>
          </w:tcPr>
          <w:p w:rsidR="00CF79FF" w:rsidRDefault="00AB252A">
            <w:pPr>
              <w:jc w:val="center"/>
              <w:rPr>
                <w:rFonts w:ascii="仿宋" w:eastAsia="仿宋" w:hAnsi="仿宋"/>
                <w:bCs/>
                <w:color w:val="000000"/>
                <w:szCs w:val="21"/>
              </w:rPr>
            </w:pPr>
            <w:r>
              <w:rPr>
                <w:rFonts w:ascii="仿宋" w:eastAsia="仿宋" w:hAnsi="仿宋" w:hint="eastAsia"/>
                <w:bCs/>
                <w:color w:val="000000"/>
                <w:szCs w:val="21"/>
              </w:rPr>
              <w:t>C1080320000586</w:t>
            </w:r>
          </w:p>
          <w:p w:rsidR="00CF79FF" w:rsidRDefault="00AB252A">
            <w:pPr>
              <w:jc w:val="center"/>
              <w:rPr>
                <w:rFonts w:ascii="仿宋" w:eastAsia="仿宋" w:hAnsi="仿宋"/>
                <w:kern w:val="0"/>
                <w:szCs w:val="21"/>
              </w:rPr>
            </w:pPr>
            <w:r>
              <w:rPr>
                <w:rFonts w:eastAsia="仿宋_GB2312" w:hint="eastAsia"/>
                <w:szCs w:val="16"/>
              </w:rPr>
              <w:t>可登陆中国</w:t>
            </w:r>
            <w:proofErr w:type="gramStart"/>
            <w:r>
              <w:rPr>
                <w:rFonts w:eastAsia="仿宋_GB2312" w:hint="eastAsia"/>
                <w:szCs w:val="16"/>
              </w:rPr>
              <w:t>理财网</w:t>
            </w:r>
            <w:proofErr w:type="gramEnd"/>
            <w:r>
              <w:rPr>
                <w:rFonts w:eastAsia="仿宋_GB2312"/>
                <w:szCs w:val="16"/>
              </w:rPr>
              <w:t>www.chinawealth.com.cn</w:t>
            </w:r>
            <w:r>
              <w:rPr>
                <w:rFonts w:eastAsia="仿宋_GB2312" w:hint="eastAsia"/>
                <w:szCs w:val="16"/>
              </w:rPr>
              <w:t>查询</w:t>
            </w:r>
          </w:p>
        </w:tc>
      </w:tr>
      <w:tr w:rsidR="00CF79FF">
        <w:trPr>
          <w:trHeight w:val="384"/>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募集方式</w:t>
            </w:r>
          </w:p>
        </w:tc>
        <w:tc>
          <w:tcPr>
            <w:tcW w:w="8576" w:type="dxa"/>
            <w:gridSpan w:val="7"/>
            <w:vAlign w:val="center"/>
          </w:tcPr>
          <w:p w:rsidR="00CF79FF" w:rsidRDefault="00AB252A">
            <w:pPr>
              <w:jc w:val="center"/>
              <w:rPr>
                <w:rFonts w:ascii="仿宋" w:eastAsia="仿宋" w:hAnsi="仿宋"/>
                <w:kern w:val="0"/>
                <w:szCs w:val="21"/>
              </w:rPr>
            </w:pPr>
            <w:r>
              <w:rPr>
                <w:rFonts w:ascii="仿宋" w:eastAsia="仿宋" w:hAnsi="仿宋" w:hint="eastAsia"/>
                <w:kern w:val="0"/>
                <w:szCs w:val="21"/>
              </w:rPr>
              <w:t>公募</w:t>
            </w:r>
          </w:p>
        </w:tc>
      </w:tr>
      <w:tr w:rsidR="00CF79FF">
        <w:trPr>
          <w:trHeight w:val="42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产品风险等级</w:t>
            </w:r>
          </w:p>
        </w:tc>
        <w:tc>
          <w:tcPr>
            <w:tcW w:w="8576" w:type="dxa"/>
            <w:gridSpan w:val="7"/>
            <w:vAlign w:val="center"/>
          </w:tcPr>
          <w:p w:rsidR="00CF79FF" w:rsidRDefault="00AB252A">
            <w:pPr>
              <w:rPr>
                <w:rFonts w:ascii="仿宋" w:eastAsia="仿宋" w:hAnsi="仿宋"/>
                <w:kern w:val="0"/>
                <w:szCs w:val="21"/>
              </w:rPr>
            </w:pPr>
            <w:r>
              <w:rPr>
                <w:rFonts w:ascii="仿宋" w:eastAsia="仿宋" w:hAnsi="仿宋" w:hint="eastAsia"/>
                <w:kern w:val="0"/>
                <w:szCs w:val="21"/>
              </w:rPr>
              <w:t>本产品内部评价为中等风险级别。</w:t>
            </w:r>
          </w:p>
        </w:tc>
      </w:tr>
      <w:tr w:rsidR="00CF79FF">
        <w:trPr>
          <w:trHeight w:val="412"/>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适合客户</w:t>
            </w:r>
          </w:p>
        </w:tc>
        <w:tc>
          <w:tcPr>
            <w:tcW w:w="8576" w:type="dxa"/>
            <w:gridSpan w:val="7"/>
            <w:vAlign w:val="center"/>
          </w:tcPr>
          <w:p w:rsidR="00CF79FF" w:rsidRDefault="00AB252A">
            <w:pPr>
              <w:rPr>
                <w:rFonts w:ascii="仿宋" w:eastAsia="仿宋" w:hAnsi="仿宋"/>
                <w:kern w:val="0"/>
                <w:szCs w:val="21"/>
              </w:rPr>
            </w:pPr>
            <w:r>
              <w:rPr>
                <w:rFonts w:ascii="仿宋" w:eastAsia="仿宋" w:hAnsi="仿宋" w:hint="eastAsia"/>
                <w:kern w:val="0"/>
                <w:szCs w:val="21"/>
              </w:rPr>
              <w:t>适合稳健型、进取型和激进</w:t>
            </w:r>
            <w:proofErr w:type="gramStart"/>
            <w:r>
              <w:rPr>
                <w:rFonts w:ascii="仿宋" w:eastAsia="仿宋" w:hAnsi="仿宋" w:hint="eastAsia"/>
                <w:kern w:val="0"/>
                <w:szCs w:val="21"/>
              </w:rPr>
              <w:t>型客户</w:t>
            </w:r>
            <w:proofErr w:type="gramEnd"/>
            <w:r>
              <w:rPr>
                <w:rFonts w:ascii="仿宋" w:eastAsia="仿宋" w:hAnsi="仿宋" w:hint="eastAsia"/>
                <w:kern w:val="0"/>
                <w:szCs w:val="21"/>
              </w:rPr>
              <w:t>认购。</w:t>
            </w:r>
          </w:p>
        </w:tc>
      </w:tr>
      <w:tr w:rsidR="00CF79FF">
        <w:trPr>
          <w:trHeight w:val="3076"/>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产品规模</w:t>
            </w:r>
          </w:p>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及认购起点</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初始计划发行量50亿元，天津银行有权根据实际情况进行调整，本产品最终发行规模以实际发行金额为准。</w:t>
            </w:r>
          </w:p>
          <w:p w:rsidR="00CF79FF" w:rsidRDefault="00AB252A">
            <w:pPr>
              <w:spacing w:line="360" w:lineRule="exact"/>
              <w:rPr>
                <w:rFonts w:ascii="仿宋" w:eastAsia="仿宋" w:hAnsi="仿宋"/>
                <w:bCs/>
                <w:szCs w:val="21"/>
              </w:rPr>
            </w:pPr>
            <w:r>
              <w:rPr>
                <w:rFonts w:ascii="仿宋" w:eastAsia="仿宋" w:hAnsi="仿宋" w:hint="eastAsia"/>
                <w:bCs/>
                <w:szCs w:val="21"/>
              </w:rPr>
              <w:t>首次认购/申购起点金额10万元，高于</w:t>
            </w:r>
            <w:r>
              <w:rPr>
                <w:rFonts w:ascii="仿宋" w:eastAsia="仿宋" w:hAnsi="仿宋"/>
                <w:bCs/>
                <w:szCs w:val="21"/>
              </w:rPr>
              <w:t>起点金额</w:t>
            </w:r>
            <w:r>
              <w:rPr>
                <w:rFonts w:ascii="仿宋" w:eastAsia="仿宋" w:hAnsi="仿宋" w:hint="eastAsia"/>
                <w:bCs/>
                <w:szCs w:val="21"/>
              </w:rPr>
              <w:t>以1000元整数</w:t>
            </w:r>
            <w:proofErr w:type="gramStart"/>
            <w:r>
              <w:rPr>
                <w:rFonts w:ascii="仿宋" w:eastAsia="仿宋" w:hAnsi="仿宋" w:hint="eastAsia"/>
                <w:bCs/>
                <w:szCs w:val="21"/>
              </w:rPr>
              <w:t>倍</w:t>
            </w:r>
            <w:proofErr w:type="gramEnd"/>
            <w:r>
              <w:rPr>
                <w:rFonts w:ascii="仿宋" w:eastAsia="仿宋" w:hAnsi="仿宋" w:hint="eastAsia"/>
                <w:bCs/>
                <w:szCs w:val="21"/>
              </w:rPr>
              <w:t>递增；追加</w:t>
            </w:r>
            <w:r>
              <w:rPr>
                <w:rFonts w:ascii="仿宋" w:eastAsia="仿宋" w:hAnsi="仿宋"/>
                <w:bCs/>
                <w:szCs w:val="21"/>
              </w:rPr>
              <w:t>投资时，追加申购金额按照</w:t>
            </w:r>
            <w:r>
              <w:rPr>
                <w:rFonts w:ascii="仿宋" w:eastAsia="仿宋" w:hAnsi="仿宋" w:hint="eastAsia"/>
                <w:bCs/>
                <w:szCs w:val="21"/>
              </w:rPr>
              <w:t>1000元</w:t>
            </w:r>
            <w:r>
              <w:rPr>
                <w:rFonts w:ascii="仿宋" w:eastAsia="仿宋" w:hAnsi="仿宋"/>
                <w:bCs/>
                <w:szCs w:val="21"/>
              </w:rPr>
              <w:t>的整数</w:t>
            </w:r>
            <w:proofErr w:type="gramStart"/>
            <w:r>
              <w:rPr>
                <w:rFonts w:ascii="仿宋" w:eastAsia="仿宋" w:hAnsi="仿宋"/>
                <w:bCs/>
                <w:szCs w:val="21"/>
              </w:rPr>
              <w:t>倍</w:t>
            </w:r>
            <w:proofErr w:type="gramEnd"/>
            <w:r>
              <w:rPr>
                <w:rFonts w:ascii="仿宋" w:eastAsia="仿宋" w:hAnsi="仿宋"/>
                <w:bCs/>
                <w:szCs w:val="21"/>
              </w:rPr>
              <w:t>递增</w:t>
            </w:r>
            <w:r>
              <w:rPr>
                <w:rFonts w:ascii="仿宋" w:eastAsia="仿宋" w:hAnsi="仿宋" w:hint="eastAsia"/>
                <w:bCs/>
                <w:szCs w:val="21"/>
              </w:rPr>
              <w:t>。</w:t>
            </w:r>
          </w:p>
          <w:p w:rsidR="00CF79FF" w:rsidRDefault="00AB252A">
            <w:pPr>
              <w:spacing w:line="360" w:lineRule="exact"/>
              <w:rPr>
                <w:rFonts w:ascii="仿宋" w:eastAsia="仿宋" w:hAnsi="仿宋"/>
                <w:kern w:val="0"/>
                <w:szCs w:val="21"/>
              </w:rPr>
            </w:pPr>
            <w:r>
              <w:rPr>
                <w:rFonts w:ascii="仿宋" w:eastAsia="仿宋" w:hAnsi="仿宋" w:hint="eastAsia"/>
                <w:bCs/>
                <w:szCs w:val="21"/>
              </w:rPr>
              <w:t>如果产品募集期结束前认购规模达到50亿,天津银行有权提前结束认购并调整相关日期,天津银行将通过官方网站（</w:t>
            </w:r>
            <w:hyperlink r:id="rId8" w:history="1">
              <w:r>
                <w:rPr>
                  <w:rFonts w:ascii="仿宋" w:eastAsia="仿宋" w:hAnsi="仿宋" w:hint="eastAsia"/>
                  <w:bCs/>
                  <w:szCs w:val="21"/>
                </w:rPr>
                <w:t>www.bankoftianjin.com</w:t>
              </w:r>
            </w:hyperlink>
            <w:r>
              <w:rPr>
                <w:rFonts w:ascii="仿宋" w:eastAsia="仿宋" w:hAnsi="仿宋" w:hint="eastAsia"/>
                <w:bCs/>
                <w:szCs w:val="21"/>
              </w:rPr>
              <w:t>，下同）或相关营业网点发布产品提前成立信息，产品最终规模以天津银行实际募集规模为准。天津银行有权但无义务宣布本理财产品不成立，亦有权调整产品规模。天津银行宣布本理财产品不成立的，于原定成立日后2个工作日内通过官方网站或相关营业网点发布产品不成立信息，客户资金将于原定成立日（含）2个工作日内划转至客户账户。</w:t>
            </w:r>
          </w:p>
        </w:tc>
      </w:tr>
      <w:tr w:rsidR="00CF79FF">
        <w:trPr>
          <w:trHeight w:val="420"/>
        </w:trPr>
        <w:tc>
          <w:tcPr>
            <w:tcW w:w="1909" w:type="dxa"/>
            <w:vMerge w:val="restart"/>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名词</w:t>
            </w:r>
            <w:r>
              <w:rPr>
                <w:rFonts w:ascii="仿宋" w:eastAsia="仿宋" w:hAnsi="仿宋"/>
                <w:b/>
                <w:kern w:val="0"/>
                <w:sz w:val="24"/>
                <w:szCs w:val="24"/>
              </w:rPr>
              <w:t>解释</w:t>
            </w:r>
          </w:p>
        </w:tc>
        <w:tc>
          <w:tcPr>
            <w:tcW w:w="3870" w:type="dxa"/>
            <w:gridSpan w:val="5"/>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募集期</w:t>
            </w:r>
            <w:r>
              <w:rPr>
                <w:rFonts w:ascii="仿宋" w:eastAsia="仿宋" w:hAnsi="仿宋"/>
                <w:bCs/>
                <w:szCs w:val="21"/>
              </w:rPr>
              <w:t>：</w:t>
            </w:r>
            <w:r>
              <w:rPr>
                <w:rFonts w:ascii="仿宋" w:eastAsia="仿宋" w:hAnsi="仿宋" w:hint="eastAsia"/>
                <w:bCs/>
                <w:szCs w:val="21"/>
              </w:rPr>
              <w:t>投资者</w:t>
            </w:r>
            <w:r>
              <w:rPr>
                <w:rFonts w:ascii="仿宋" w:eastAsia="仿宋" w:hAnsi="仿宋"/>
                <w:bCs/>
                <w:szCs w:val="21"/>
              </w:rPr>
              <w:t>认购</w:t>
            </w:r>
            <w:r>
              <w:rPr>
                <w:rFonts w:ascii="仿宋" w:eastAsia="仿宋" w:hAnsi="仿宋" w:hint="eastAsia"/>
                <w:bCs/>
                <w:szCs w:val="21"/>
              </w:rPr>
              <w:t>产品</w:t>
            </w:r>
            <w:r>
              <w:rPr>
                <w:rFonts w:ascii="仿宋" w:eastAsia="仿宋" w:hAnsi="仿宋"/>
                <w:bCs/>
                <w:szCs w:val="21"/>
              </w:rPr>
              <w:t>的</w:t>
            </w:r>
            <w:r>
              <w:rPr>
                <w:rFonts w:ascii="仿宋" w:eastAsia="仿宋" w:hAnsi="仿宋" w:hint="eastAsia"/>
                <w:bCs/>
                <w:szCs w:val="21"/>
              </w:rPr>
              <w:t>时间</w:t>
            </w:r>
            <w:r>
              <w:rPr>
                <w:rFonts w:ascii="仿宋" w:eastAsia="仿宋" w:hAnsi="仿宋"/>
                <w:bCs/>
                <w:szCs w:val="21"/>
              </w:rPr>
              <w:t>段</w:t>
            </w:r>
            <w:r>
              <w:rPr>
                <w:rFonts w:ascii="仿宋" w:eastAsia="仿宋" w:hAnsi="仿宋" w:hint="eastAsia"/>
                <w:bCs/>
                <w:szCs w:val="21"/>
              </w:rPr>
              <w:t>。</w:t>
            </w:r>
          </w:p>
        </w:tc>
        <w:tc>
          <w:tcPr>
            <w:tcW w:w="4706" w:type="dxa"/>
            <w:gridSpan w:val="2"/>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产品起息日</w:t>
            </w:r>
            <w:r>
              <w:rPr>
                <w:rFonts w:ascii="仿宋" w:eastAsia="仿宋" w:hAnsi="仿宋"/>
                <w:bCs/>
                <w:szCs w:val="21"/>
              </w:rPr>
              <w:t>：</w:t>
            </w:r>
            <w:r>
              <w:rPr>
                <w:rFonts w:ascii="仿宋" w:eastAsia="仿宋" w:hAnsi="仿宋" w:hint="eastAsia"/>
                <w:bCs/>
                <w:szCs w:val="21"/>
              </w:rPr>
              <w:t>产品</w:t>
            </w:r>
            <w:r>
              <w:rPr>
                <w:rFonts w:ascii="仿宋" w:eastAsia="仿宋" w:hAnsi="仿宋"/>
                <w:bCs/>
                <w:szCs w:val="21"/>
              </w:rPr>
              <w:t>开始</w:t>
            </w:r>
            <w:r>
              <w:rPr>
                <w:rFonts w:ascii="仿宋" w:eastAsia="仿宋" w:hAnsi="仿宋" w:hint="eastAsia"/>
                <w:bCs/>
                <w:szCs w:val="21"/>
              </w:rPr>
              <w:t>计息</w:t>
            </w:r>
            <w:r>
              <w:rPr>
                <w:rFonts w:ascii="仿宋" w:eastAsia="仿宋" w:hAnsi="仿宋"/>
                <w:bCs/>
                <w:szCs w:val="21"/>
              </w:rPr>
              <w:t>的日期。</w:t>
            </w:r>
          </w:p>
        </w:tc>
      </w:tr>
      <w:tr w:rsidR="00CF79FF">
        <w:trPr>
          <w:trHeight w:val="420"/>
        </w:trPr>
        <w:tc>
          <w:tcPr>
            <w:tcW w:w="1909" w:type="dxa"/>
            <w:vMerge/>
            <w:vAlign w:val="center"/>
          </w:tcPr>
          <w:p w:rsidR="00CF79FF" w:rsidRDefault="00CF79FF">
            <w:pPr>
              <w:jc w:val="center"/>
              <w:rPr>
                <w:rFonts w:ascii="仿宋" w:eastAsia="仿宋" w:hAnsi="仿宋"/>
                <w:b/>
                <w:kern w:val="0"/>
                <w:sz w:val="24"/>
                <w:szCs w:val="24"/>
              </w:rPr>
            </w:pPr>
          </w:p>
        </w:tc>
        <w:tc>
          <w:tcPr>
            <w:tcW w:w="3870" w:type="dxa"/>
            <w:gridSpan w:val="5"/>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产品到期日</w:t>
            </w:r>
            <w:r>
              <w:rPr>
                <w:rFonts w:ascii="仿宋" w:eastAsia="仿宋" w:hAnsi="仿宋"/>
                <w:bCs/>
                <w:szCs w:val="21"/>
              </w:rPr>
              <w:t>：</w:t>
            </w:r>
            <w:r>
              <w:rPr>
                <w:rFonts w:ascii="仿宋" w:eastAsia="仿宋" w:hAnsi="仿宋" w:hint="eastAsia"/>
                <w:bCs/>
                <w:szCs w:val="21"/>
              </w:rPr>
              <w:t>产品</w:t>
            </w:r>
            <w:r>
              <w:rPr>
                <w:rFonts w:ascii="仿宋" w:eastAsia="仿宋" w:hAnsi="仿宋"/>
                <w:bCs/>
                <w:szCs w:val="21"/>
              </w:rPr>
              <w:t>终止计息的日期。</w:t>
            </w:r>
          </w:p>
        </w:tc>
        <w:tc>
          <w:tcPr>
            <w:tcW w:w="4706" w:type="dxa"/>
            <w:gridSpan w:val="2"/>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开放申购期：支持客户提交理财份额申购申请的时间段。</w:t>
            </w:r>
          </w:p>
        </w:tc>
      </w:tr>
      <w:tr w:rsidR="00CF79FF">
        <w:trPr>
          <w:trHeight w:val="420"/>
        </w:trPr>
        <w:tc>
          <w:tcPr>
            <w:tcW w:w="1909" w:type="dxa"/>
            <w:vMerge/>
            <w:vAlign w:val="center"/>
          </w:tcPr>
          <w:p w:rsidR="00CF79FF" w:rsidRDefault="00CF79FF">
            <w:pPr>
              <w:jc w:val="center"/>
              <w:rPr>
                <w:rFonts w:ascii="仿宋" w:eastAsia="仿宋" w:hAnsi="仿宋"/>
                <w:b/>
                <w:kern w:val="0"/>
                <w:sz w:val="24"/>
                <w:szCs w:val="24"/>
              </w:rPr>
            </w:pPr>
          </w:p>
        </w:tc>
        <w:tc>
          <w:tcPr>
            <w:tcW w:w="8576" w:type="dxa"/>
            <w:gridSpan w:val="7"/>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赎回开放期：支持客户提交理财份额赎回申请的时间段。</w:t>
            </w:r>
          </w:p>
        </w:tc>
      </w:tr>
      <w:tr w:rsidR="00CF79FF">
        <w:trPr>
          <w:cantSplit/>
          <w:trHeight w:val="420"/>
        </w:trPr>
        <w:tc>
          <w:tcPr>
            <w:tcW w:w="1909" w:type="dxa"/>
            <w:vMerge w:val="restart"/>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产品期限</w:t>
            </w:r>
          </w:p>
        </w:tc>
        <w:tc>
          <w:tcPr>
            <w:tcW w:w="1599" w:type="dxa"/>
            <w:vAlign w:val="center"/>
          </w:tcPr>
          <w:p w:rsidR="00CF79FF" w:rsidRDefault="00AB252A">
            <w:pPr>
              <w:rPr>
                <w:rFonts w:ascii="仿宋" w:eastAsia="仿宋" w:hAnsi="仿宋"/>
                <w:b/>
                <w:kern w:val="0"/>
                <w:sz w:val="24"/>
                <w:szCs w:val="24"/>
              </w:rPr>
            </w:pPr>
            <w:r>
              <w:rPr>
                <w:rFonts w:ascii="仿宋" w:eastAsia="仿宋" w:hAnsi="仿宋" w:hint="eastAsia"/>
                <w:b/>
                <w:kern w:val="0"/>
                <w:sz w:val="24"/>
                <w:szCs w:val="24"/>
              </w:rPr>
              <w:t>募集期</w:t>
            </w:r>
            <w:r>
              <w:rPr>
                <w:rFonts w:ascii="仿宋" w:eastAsia="仿宋" w:hAnsi="仿宋"/>
                <w:b/>
                <w:kern w:val="0"/>
                <w:sz w:val="24"/>
                <w:szCs w:val="24"/>
              </w:rPr>
              <w:t xml:space="preserve"> </w:t>
            </w:r>
          </w:p>
        </w:tc>
        <w:tc>
          <w:tcPr>
            <w:tcW w:w="6977" w:type="dxa"/>
            <w:gridSpan w:val="6"/>
            <w:vAlign w:val="center"/>
          </w:tcPr>
          <w:p w:rsidR="00CF79FF" w:rsidRDefault="00AB252A">
            <w:pPr>
              <w:jc w:val="center"/>
              <w:rPr>
                <w:rFonts w:ascii="仿宋" w:eastAsia="仿宋" w:hAnsi="仿宋"/>
                <w:kern w:val="0"/>
                <w:szCs w:val="21"/>
              </w:rPr>
            </w:pPr>
            <w:r>
              <w:rPr>
                <w:rFonts w:ascii="仿宋" w:eastAsia="仿宋" w:hAnsi="仿宋" w:hint="eastAsia"/>
                <w:szCs w:val="21"/>
              </w:rPr>
              <w:t>20</w:t>
            </w:r>
            <w:r>
              <w:rPr>
                <w:rFonts w:ascii="仿宋" w:eastAsia="仿宋" w:hAnsi="仿宋"/>
                <w:szCs w:val="21"/>
              </w:rPr>
              <w:t>20</w:t>
            </w:r>
            <w:r>
              <w:rPr>
                <w:rFonts w:ascii="仿宋" w:eastAsia="仿宋" w:hAnsi="仿宋" w:hint="eastAsia"/>
                <w:szCs w:val="21"/>
              </w:rPr>
              <w:t>年</w:t>
            </w:r>
            <w:r>
              <w:rPr>
                <w:rFonts w:ascii="仿宋" w:eastAsia="仿宋" w:hAnsi="仿宋"/>
                <w:szCs w:val="21"/>
              </w:rPr>
              <w:t>3</w:t>
            </w:r>
            <w:r>
              <w:rPr>
                <w:rFonts w:ascii="仿宋" w:eastAsia="仿宋" w:hAnsi="仿宋" w:hint="eastAsia"/>
                <w:szCs w:val="21"/>
              </w:rPr>
              <w:t>月</w:t>
            </w:r>
            <w:r>
              <w:rPr>
                <w:rFonts w:ascii="仿宋" w:eastAsia="仿宋" w:hAnsi="仿宋"/>
                <w:szCs w:val="21"/>
              </w:rPr>
              <w:t>30</w:t>
            </w:r>
            <w:r>
              <w:rPr>
                <w:rFonts w:ascii="仿宋" w:eastAsia="仿宋" w:hAnsi="仿宋" w:hint="eastAsia"/>
                <w:szCs w:val="21"/>
              </w:rPr>
              <w:t>日—20</w:t>
            </w:r>
            <w:r>
              <w:rPr>
                <w:rFonts w:ascii="仿宋" w:eastAsia="仿宋" w:hAnsi="仿宋"/>
                <w:szCs w:val="21"/>
              </w:rPr>
              <w:t>20</w:t>
            </w:r>
            <w:r>
              <w:rPr>
                <w:rFonts w:ascii="仿宋" w:eastAsia="仿宋" w:hAnsi="仿宋" w:hint="eastAsia"/>
                <w:szCs w:val="21"/>
              </w:rPr>
              <w:t>年4月9日</w:t>
            </w:r>
          </w:p>
        </w:tc>
      </w:tr>
      <w:tr w:rsidR="00CF79FF">
        <w:trPr>
          <w:cantSplit/>
          <w:trHeight w:val="420"/>
        </w:trPr>
        <w:tc>
          <w:tcPr>
            <w:tcW w:w="1909" w:type="dxa"/>
            <w:vMerge/>
            <w:vAlign w:val="center"/>
          </w:tcPr>
          <w:p w:rsidR="00CF79FF" w:rsidRDefault="00CF79FF">
            <w:pPr>
              <w:jc w:val="center"/>
              <w:rPr>
                <w:rFonts w:ascii="仿宋" w:eastAsia="仿宋" w:hAnsi="仿宋"/>
                <w:b/>
                <w:kern w:val="0"/>
                <w:sz w:val="24"/>
                <w:szCs w:val="24"/>
              </w:rPr>
            </w:pPr>
          </w:p>
        </w:tc>
        <w:tc>
          <w:tcPr>
            <w:tcW w:w="1599" w:type="dxa"/>
            <w:vAlign w:val="center"/>
          </w:tcPr>
          <w:p w:rsidR="00CF79FF" w:rsidRDefault="00AB252A">
            <w:pPr>
              <w:rPr>
                <w:rFonts w:ascii="仿宋" w:eastAsia="仿宋" w:hAnsi="仿宋"/>
                <w:b/>
                <w:sz w:val="24"/>
                <w:szCs w:val="24"/>
              </w:rPr>
            </w:pPr>
            <w:r>
              <w:rPr>
                <w:rFonts w:ascii="仿宋" w:eastAsia="仿宋" w:hAnsi="仿宋" w:hint="eastAsia"/>
                <w:b/>
                <w:sz w:val="24"/>
                <w:szCs w:val="24"/>
              </w:rPr>
              <w:t>产品起息日</w:t>
            </w:r>
          </w:p>
        </w:tc>
        <w:tc>
          <w:tcPr>
            <w:tcW w:w="2183" w:type="dxa"/>
            <w:gridSpan w:val="3"/>
            <w:vAlign w:val="center"/>
          </w:tcPr>
          <w:p w:rsidR="00CF79FF" w:rsidRDefault="00AB252A">
            <w:pPr>
              <w:jc w:val="center"/>
              <w:rPr>
                <w:rFonts w:ascii="仿宋" w:eastAsia="仿宋" w:hAnsi="仿宋"/>
                <w:szCs w:val="21"/>
              </w:rPr>
            </w:pPr>
            <w:r>
              <w:rPr>
                <w:rFonts w:ascii="仿宋" w:eastAsia="仿宋" w:hAnsi="仿宋" w:hint="eastAsia"/>
                <w:szCs w:val="21"/>
              </w:rPr>
              <w:t>20</w:t>
            </w:r>
            <w:r>
              <w:rPr>
                <w:rFonts w:ascii="仿宋" w:eastAsia="仿宋" w:hAnsi="仿宋"/>
                <w:szCs w:val="21"/>
              </w:rPr>
              <w:t>20</w:t>
            </w:r>
            <w:r>
              <w:rPr>
                <w:rFonts w:ascii="仿宋" w:eastAsia="仿宋" w:hAnsi="仿宋" w:hint="eastAsia"/>
                <w:szCs w:val="21"/>
              </w:rPr>
              <w:t>年</w:t>
            </w:r>
            <w:r>
              <w:rPr>
                <w:rFonts w:ascii="仿宋" w:eastAsia="仿宋" w:hAnsi="仿宋"/>
                <w:szCs w:val="21"/>
              </w:rPr>
              <w:t>4</w:t>
            </w:r>
            <w:r>
              <w:rPr>
                <w:rFonts w:ascii="仿宋" w:eastAsia="仿宋" w:hAnsi="仿宋" w:hint="eastAsia"/>
                <w:szCs w:val="21"/>
              </w:rPr>
              <w:t>月10日</w:t>
            </w:r>
          </w:p>
        </w:tc>
        <w:tc>
          <w:tcPr>
            <w:tcW w:w="1503" w:type="dxa"/>
            <w:gridSpan w:val="2"/>
            <w:vAlign w:val="center"/>
          </w:tcPr>
          <w:p w:rsidR="00CF79FF" w:rsidRDefault="00AB252A">
            <w:pPr>
              <w:rPr>
                <w:rFonts w:ascii="仿宋" w:eastAsia="仿宋" w:hAnsi="仿宋"/>
                <w:b/>
                <w:sz w:val="24"/>
                <w:szCs w:val="24"/>
              </w:rPr>
            </w:pPr>
            <w:r>
              <w:rPr>
                <w:rFonts w:ascii="仿宋" w:eastAsia="仿宋" w:hAnsi="仿宋" w:hint="eastAsia"/>
                <w:b/>
                <w:sz w:val="24"/>
                <w:szCs w:val="24"/>
              </w:rPr>
              <w:t>产品到期日</w:t>
            </w:r>
          </w:p>
        </w:tc>
        <w:tc>
          <w:tcPr>
            <w:tcW w:w="3291" w:type="dxa"/>
            <w:vAlign w:val="center"/>
          </w:tcPr>
          <w:p w:rsidR="00CF79FF" w:rsidRDefault="00AB252A">
            <w:pPr>
              <w:jc w:val="center"/>
              <w:rPr>
                <w:rFonts w:ascii="仿宋" w:eastAsia="仿宋" w:hAnsi="仿宋"/>
                <w:szCs w:val="21"/>
              </w:rPr>
            </w:pPr>
            <w:r>
              <w:rPr>
                <w:rFonts w:ascii="仿宋" w:eastAsia="仿宋" w:hAnsi="仿宋" w:hint="eastAsia"/>
                <w:szCs w:val="21"/>
              </w:rPr>
              <w:t>2030年3月</w:t>
            </w:r>
            <w:r>
              <w:rPr>
                <w:rFonts w:ascii="仿宋" w:eastAsia="仿宋" w:hAnsi="仿宋"/>
                <w:szCs w:val="21"/>
              </w:rPr>
              <w:t>2</w:t>
            </w:r>
            <w:r>
              <w:rPr>
                <w:rFonts w:ascii="仿宋" w:eastAsia="仿宋" w:hAnsi="仿宋" w:hint="eastAsia"/>
                <w:szCs w:val="21"/>
              </w:rPr>
              <w:t>9日</w:t>
            </w:r>
          </w:p>
        </w:tc>
      </w:tr>
      <w:tr w:rsidR="00CF79FF">
        <w:trPr>
          <w:cantSplit/>
          <w:trHeight w:val="810"/>
        </w:trPr>
        <w:tc>
          <w:tcPr>
            <w:tcW w:w="1909" w:type="dxa"/>
            <w:vMerge/>
            <w:vAlign w:val="center"/>
          </w:tcPr>
          <w:p w:rsidR="00CF79FF" w:rsidRDefault="00CF79FF">
            <w:pPr>
              <w:jc w:val="center"/>
              <w:rPr>
                <w:rFonts w:ascii="仿宋" w:eastAsia="仿宋" w:hAnsi="仿宋"/>
                <w:b/>
                <w:kern w:val="0"/>
                <w:sz w:val="24"/>
                <w:szCs w:val="24"/>
              </w:rPr>
            </w:pPr>
          </w:p>
        </w:tc>
        <w:tc>
          <w:tcPr>
            <w:tcW w:w="1599" w:type="dxa"/>
            <w:vAlign w:val="center"/>
          </w:tcPr>
          <w:p w:rsidR="00CF79FF" w:rsidRDefault="00AB252A">
            <w:pPr>
              <w:rPr>
                <w:rFonts w:ascii="仿宋" w:eastAsia="仿宋" w:hAnsi="仿宋"/>
                <w:b/>
                <w:kern w:val="0"/>
                <w:sz w:val="24"/>
                <w:szCs w:val="24"/>
              </w:rPr>
            </w:pPr>
            <w:r>
              <w:rPr>
                <w:rFonts w:ascii="仿宋" w:eastAsia="仿宋" w:hAnsi="仿宋" w:hint="eastAsia"/>
                <w:b/>
                <w:kern w:val="0"/>
                <w:sz w:val="24"/>
                <w:szCs w:val="24"/>
              </w:rPr>
              <w:t>理财期限</w:t>
            </w:r>
            <w:r>
              <w:rPr>
                <w:rFonts w:ascii="仿宋" w:eastAsia="仿宋" w:hAnsi="仿宋"/>
                <w:b/>
                <w:kern w:val="0"/>
                <w:sz w:val="24"/>
                <w:szCs w:val="24"/>
              </w:rPr>
              <w:t xml:space="preserve"> </w:t>
            </w:r>
          </w:p>
        </w:tc>
        <w:tc>
          <w:tcPr>
            <w:tcW w:w="6977" w:type="dxa"/>
            <w:gridSpan w:val="6"/>
            <w:vAlign w:val="center"/>
          </w:tcPr>
          <w:p w:rsidR="00CF79FF" w:rsidRDefault="00AB252A">
            <w:pPr>
              <w:spacing w:line="360" w:lineRule="exact"/>
              <w:rPr>
                <w:rFonts w:ascii="仿宋" w:eastAsia="仿宋" w:hAnsi="仿宋"/>
                <w:kern w:val="0"/>
                <w:szCs w:val="21"/>
              </w:rPr>
            </w:pPr>
            <w:r>
              <w:rPr>
                <w:rFonts w:ascii="仿宋" w:eastAsia="仿宋" w:hAnsi="仿宋" w:hint="eastAsia"/>
                <w:szCs w:val="21"/>
              </w:rPr>
              <w:t>3640 天【理财产品起息日（含）至到期日（不含）期间，产品管理人有权延期或提前终止产品。】</w:t>
            </w:r>
          </w:p>
        </w:tc>
        <w:bookmarkStart w:id="0" w:name="_GoBack"/>
        <w:bookmarkEnd w:id="0"/>
      </w:tr>
      <w:tr w:rsidR="00CF79FF">
        <w:trPr>
          <w:cantSplit/>
          <w:trHeight w:val="420"/>
        </w:trPr>
        <w:tc>
          <w:tcPr>
            <w:tcW w:w="1909" w:type="dxa"/>
            <w:vMerge/>
            <w:vAlign w:val="center"/>
          </w:tcPr>
          <w:p w:rsidR="00CF79FF" w:rsidRDefault="00CF79FF">
            <w:pPr>
              <w:jc w:val="center"/>
              <w:rPr>
                <w:rFonts w:ascii="仿宋" w:eastAsia="仿宋" w:hAnsi="仿宋"/>
                <w:b/>
                <w:kern w:val="0"/>
                <w:sz w:val="24"/>
                <w:szCs w:val="24"/>
              </w:rPr>
            </w:pPr>
          </w:p>
        </w:tc>
        <w:tc>
          <w:tcPr>
            <w:tcW w:w="1599" w:type="dxa"/>
            <w:vAlign w:val="center"/>
          </w:tcPr>
          <w:p w:rsidR="00CF79FF" w:rsidRDefault="00AB252A">
            <w:pPr>
              <w:rPr>
                <w:rFonts w:ascii="仿宋" w:eastAsia="仿宋" w:hAnsi="仿宋"/>
                <w:b/>
                <w:sz w:val="24"/>
                <w:szCs w:val="24"/>
              </w:rPr>
            </w:pPr>
            <w:r>
              <w:rPr>
                <w:rFonts w:ascii="仿宋" w:eastAsia="仿宋" w:hAnsi="仿宋" w:hint="eastAsia"/>
                <w:b/>
                <w:sz w:val="24"/>
                <w:szCs w:val="24"/>
              </w:rPr>
              <w:t>工作日</w:t>
            </w:r>
          </w:p>
        </w:tc>
        <w:tc>
          <w:tcPr>
            <w:tcW w:w="6977" w:type="dxa"/>
            <w:gridSpan w:val="6"/>
            <w:vAlign w:val="center"/>
          </w:tcPr>
          <w:p w:rsidR="00CF79FF" w:rsidRDefault="00AB252A">
            <w:pPr>
              <w:rPr>
                <w:rFonts w:ascii="仿宋" w:eastAsia="仿宋" w:hAnsi="仿宋"/>
                <w:szCs w:val="21"/>
              </w:rPr>
            </w:pPr>
            <w:r>
              <w:rPr>
                <w:rFonts w:ascii="仿宋" w:eastAsia="仿宋" w:hAnsi="仿宋" w:hint="eastAsia"/>
                <w:szCs w:val="21"/>
              </w:rPr>
              <w:t>证券市场</w:t>
            </w:r>
            <w:proofErr w:type="gramStart"/>
            <w:r>
              <w:rPr>
                <w:rFonts w:ascii="仿宋" w:eastAsia="仿宋" w:hAnsi="仿宋" w:hint="eastAsia"/>
                <w:szCs w:val="21"/>
              </w:rPr>
              <w:t>交易日</w:t>
            </w:r>
            <w:r>
              <w:rPr>
                <w:rFonts w:ascii="仿宋" w:eastAsia="仿宋" w:hAnsi="仿宋"/>
                <w:szCs w:val="21"/>
              </w:rPr>
              <w:t>且为</w:t>
            </w:r>
            <w:proofErr w:type="gramEnd"/>
            <w:r>
              <w:rPr>
                <w:rFonts w:ascii="仿宋" w:eastAsia="仿宋" w:hAnsi="仿宋" w:hint="eastAsia"/>
                <w:szCs w:val="21"/>
              </w:rPr>
              <w:t>银行</w:t>
            </w:r>
            <w:r>
              <w:rPr>
                <w:rFonts w:ascii="仿宋" w:eastAsia="仿宋" w:hAnsi="仿宋"/>
                <w:szCs w:val="21"/>
              </w:rPr>
              <w:t>法定工作日。天津</w:t>
            </w:r>
            <w:r>
              <w:rPr>
                <w:rFonts w:ascii="仿宋" w:eastAsia="仿宋" w:hAnsi="仿宋" w:hint="eastAsia"/>
                <w:szCs w:val="21"/>
              </w:rPr>
              <w:t>银行</w:t>
            </w:r>
            <w:r>
              <w:rPr>
                <w:rFonts w:ascii="仿宋" w:eastAsia="仿宋" w:hAnsi="仿宋"/>
                <w:szCs w:val="21"/>
              </w:rPr>
              <w:t>有权在特殊情况下调整，并于调整前</w:t>
            </w:r>
            <w:r>
              <w:rPr>
                <w:rFonts w:ascii="仿宋" w:eastAsia="仿宋" w:hAnsi="仿宋" w:hint="eastAsia"/>
                <w:szCs w:val="21"/>
              </w:rPr>
              <w:t>三</w:t>
            </w:r>
            <w:r>
              <w:rPr>
                <w:rFonts w:ascii="仿宋" w:eastAsia="仿宋" w:hAnsi="仿宋"/>
                <w:szCs w:val="21"/>
              </w:rPr>
              <w:t>个工作日进行公告。</w:t>
            </w:r>
          </w:p>
        </w:tc>
      </w:tr>
      <w:tr w:rsidR="00CF79FF">
        <w:trPr>
          <w:cantSplit/>
          <w:trHeight w:val="841"/>
        </w:trPr>
        <w:tc>
          <w:tcPr>
            <w:tcW w:w="1909" w:type="dxa"/>
            <w:vMerge/>
            <w:vAlign w:val="center"/>
          </w:tcPr>
          <w:p w:rsidR="00CF79FF" w:rsidRDefault="00CF79FF">
            <w:pPr>
              <w:jc w:val="center"/>
              <w:rPr>
                <w:rFonts w:ascii="仿宋" w:eastAsia="仿宋" w:hAnsi="仿宋"/>
                <w:b/>
                <w:kern w:val="0"/>
                <w:sz w:val="24"/>
                <w:szCs w:val="24"/>
              </w:rPr>
            </w:pPr>
          </w:p>
        </w:tc>
        <w:tc>
          <w:tcPr>
            <w:tcW w:w="1599" w:type="dxa"/>
            <w:vAlign w:val="center"/>
          </w:tcPr>
          <w:p w:rsidR="00CF79FF" w:rsidRDefault="00AB252A">
            <w:pPr>
              <w:rPr>
                <w:rFonts w:ascii="仿宋" w:eastAsia="仿宋" w:hAnsi="仿宋"/>
                <w:b/>
                <w:sz w:val="24"/>
                <w:szCs w:val="24"/>
              </w:rPr>
            </w:pPr>
            <w:r>
              <w:rPr>
                <w:rFonts w:ascii="仿宋" w:eastAsia="仿宋" w:hAnsi="仿宋" w:hint="eastAsia"/>
                <w:b/>
                <w:sz w:val="24"/>
                <w:szCs w:val="24"/>
              </w:rPr>
              <w:t>清算期</w:t>
            </w:r>
          </w:p>
        </w:tc>
        <w:tc>
          <w:tcPr>
            <w:tcW w:w="6977" w:type="dxa"/>
            <w:gridSpan w:val="6"/>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周期确认日或产品到期日或提前终止日至理财资金返还到账日之间，最迟不超过两个银行工作日。</w:t>
            </w:r>
          </w:p>
        </w:tc>
      </w:tr>
      <w:tr w:rsidR="00CF79FF">
        <w:trPr>
          <w:trHeight w:val="42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计息说明</w:t>
            </w:r>
          </w:p>
        </w:tc>
        <w:tc>
          <w:tcPr>
            <w:tcW w:w="8576" w:type="dxa"/>
            <w:gridSpan w:val="7"/>
            <w:vAlign w:val="center"/>
          </w:tcPr>
          <w:p w:rsidR="00CF79FF" w:rsidRDefault="00AB252A">
            <w:pPr>
              <w:spacing w:line="240" w:lineRule="exact"/>
              <w:rPr>
                <w:rFonts w:ascii="仿宋" w:eastAsia="仿宋" w:hAnsi="仿宋"/>
                <w:bCs/>
                <w:szCs w:val="21"/>
              </w:rPr>
            </w:pPr>
            <w:r>
              <w:rPr>
                <w:rFonts w:ascii="仿宋" w:eastAsia="仿宋" w:hAnsi="仿宋" w:hint="eastAsia"/>
                <w:bCs/>
                <w:szCs w:val="21"/>
              </w:rPr>
              <w:t>产品在募集期内按照活期存款利率计、结息，产品在清算期内不计付利息。</w:t>
            </w:r>
          </w:p>
        </w:tc>
      </w:tr>
      <w:tr w:rsidR="00CF79FF">
        <w:trPr>
          <w:trHeight w:val="2542"/>
        </w:trPr>
        <w:tc>
          <w:tcPr>
            <w:tcW w:w="1909" w:type="dxa"/>
            <w:vAlign w:val="center"/>
          </w:tcPr>
          <w:p w:rsidR="00CF79FF" w:rsidRDefault="00AB252A">
            <w:pPr>
              <w:jc w:val="center"/>
              <w:rPr>
                <w:rFonts w:ascii="仿宋" w:eastAsia="仿宋" w:hAnsi="仿宋"/>
                <w:b/>
                <w:kern w:val="0"/>
                <w:sz w:val="24"/>
                <w:szCs w:val="24"/>
                <w:u w:val="wave"/>
              </w:rPr>
            </w:pPr>
            <w:r>
              <w:rPr>
                <w:rFonts w:ascii="仿宋" w:eastAsia="仿宋" w:hAnsi="仿宋" w:hint="eastAsia"/>
                <w:b/>
                <w:kern w:val="0"/>
                <w:sz w:val="24"/>
                <w:szCs w:val="24"/>
              </w:rPr>
              <w:lastRenderedPageBreak/>
              <w:t>产品净值说明</w:t>
            </w:r>
          </w:p>
        </w:tc>
        <w:tc>
          <w:tcPr>
            <w:tcW w:w="8576" w:type="dxa"/>
            <w:gridSpan w:val="7"/>
            <w:vAlign w:val="center"/>
          </w:tcPr>
          <w:p w:rsidR="00CF79FF" w:rsidRDefault="00AB252A">
            <w:pPr>
              <w:pStyle w:val="1"/>
              <w:spacing w:line="360" w:lineRule="exact"/>
              <w:ind w:firstLineChars="0" w:firstLine="0"/>
              <w:rPr>
                <w:rFonts w:ascii="仿宋" w:eastAsia="仿宋" w:hAnsi="仿宋"/>
                <w:szCs w:val="21"/>
              </w:rPr>
            </w:pPr>
            <w:r>
              <w:rPr>
                <w:rFonts w:ascii="仿宋" w:eastAsia="仿宋" w:hAnsi="仿宋" w:hint="eastAsia"/>
                <w:szCs w:val="21"/>
              </w:rPr>
              <w:t>1.产品单位净值指每份产品单位的净资产价值，此为扣除期间相关税费后的净值，将</w:t>
            </w:r>
            <w:r>
              <w:rPr>
                <w:rFonts w:ascii="仿宋" w:eastAsia="仿宋" w:hAnsi="仿宋"/>
                <w:bCs/>
                <w:szCs w:val="21"/>
              </w:rPr>
              <w:t>四舍五入保留至小数点后第六位。</w:t>
            </w:r>
            <w:r>
              <w:rPr>
                <w:rFonts w:ascii="仿宋" w:eastAsia="仿宋" w:hAnsi="仿宋" w:hint="eastAsia"/>
                <w:szCs w:val="21"/>
              </w:rPr>
              <w:t>计算公式为：产品单位净值</w:t>
            </w:r>
            <w:r>
              <w:rPr>
                <w:rFonts w:ascii="仿宋" w:eastAsia="仿宋" w:hAnsi="仿宋"/>
                <w:szCs w:val="21"/>
              </w:rPr>
              <w:t>=</w:t>
            </w:r>
            <w:r>
              <w:rPr>
                <w:rFonts w:ascii="仿宋" w:eastAsia="仿宋" w:hAnsi="仿宋" w:hint="eastAsia"/>
                <w:szCs w:val="21"/>
              </w:rPr>
              <w:t>产品净资产÷</w:t>
            </w:r>
            <w:r>
              <w:rPr>
                <w:rFonts w:ascii="仿宋" w:eastAsia="仿宋" w:hAnsi="仿宋"/>
                <w:szCs w:val="21"/>
              </w:rPr>
              <w:t>产品份额</w:t>
            </w:r>
          </w:p>
          <w:p w:rsidR="00CF79FF" w:rsidRDefault="00AB252A">
            <w:pPr>
              <w:pStyle w:val="1"/>
              <w:spacing w:line="360" w:lineRule="exact"/>
              <w:ind w:firstLineChars="0" w:firstLine="0"/>
              <w:rPr>
                <w:rFonts w:ascii="仿宋" w:eastAsia="仿宋" w:hAnsi="仿宋"/>
                <w:bCs/>
                <w:szCs w:val="21"/>
              </w:rPr>
            </w:pPr>
            <w:r>
              <w:rPr>
                <w:rFonts w:ascii="仿宋" w:eastAsia="仿宋" w:hAnsi="仿宋" w:hint="eastAsia"/>
                <w:bCs/>
                <w:szCs w:val="21"/>
              </w:rPr>
              <w:t>2.</w:t>
            </w:r>
            <w:r>
              <w:rPr>
                <w:rFonts w:ascii="仿宋" w:eastAsia="仿宋" w:hAnsi="仿宋" w:hint="eastAsia"/>
                <w:szCs w:val="21"/>
              </w:rPr>
              <w:t xml:space="preserve"> 产品将于起息日对募集期</w:t>
            </w:r>
            <w:proofErr w:type="gramStart"/>
            <w:r>
              <w:rPr>
                <w:rFonts w:ascii="仿宋" w:eastAsia="仿宋" w:hAnsi="仿宋" w:hint="eastAsia"/>
                <w:szCs w:val="21"/>
              </w:rPr>
              <w:t>内客户</w:t>
            </w:r>
            <w:proofErr w:type="gramEnd"/>
            <w:r>
              <w:rPr>
                <w:rFonts w:ascii="仿宋" w:eastAsia="仿宋" w:hAnsi="仿宋" w:hint="eastAsia"/>
                <w:szCs w:val="21"/>
              </w:rPr>
              <w:t>认购产品份额进行确认，初始单位净值</w:t>
            </w:r>
            <w:r>
              <w:rPr>
                <w:rFonts w:ascii="仿宋" w:eastAsia="仿宋" w:hAnsi="仿宋"/>
                <w:szCs w:val="21"/>
              </w:rPr>
              <w:t>1</w:t>
            </w:r>
            <w:r>
              <w:rPr>
                <w:rFonts w:ascii="仿宋" w:eastAsia="仿宋" w:hAnsi="仿宋" w:hint="eastAsia"/>
                <w:szCs w:val="21"/>
              </w:rPr>
              <w:t>元</w:t>
            </w:r>
            <w:r>
              <w:rPr>
                <w:rFonts w:ascii="仿宋" w:eastAsia="仿宋" w:hAnsi="仿宋"/>
                <w:szCs w:val="21"/>
              </w:rPr>
              <w:t>/</w:t>
            </w:r>
            <w:r>
              <w:rPr>
                <w:rFonts w:ascii="仿宋" w:eastAsia="仿宋" w:hAnsi="仿宋" w:hint="eastAsia"/>
                <w:szCs w:val="21"/>
              </w:rPr>
              <w:t>份。</w:t>
            </w:r>
          </w:p>
          <w:p w:rsidR="00CF79FF" w:rsidRDefault="00AB252A">
            <w:pPr>
              <w:pStyle w:val="1"/>
              <w:spacing w:line="360" w:lineRule="exact"/>
              <w:ind w:firstLineChars="0" w:firstLine="0"/>
              <w:rPr>
                <w:rFonts w:ascii="仿宋" w:eastAsia="仿宋" w:hAnsi="仿宋"/>
                <w:bCs/>
                <w:szCs w:val="21"/>
              </w:rPr>
            </w:pPr>
            <w:r>
              <w:rPr>
                <w:rFonts w:ascii="仿宋" w:eastAsia="仿宋" w:hAnsi="仿宋" w:hint="eastAsia"/>
                <w:bCs/>
                <w:szCs w:val="21"/>
              </w:rPr>
              <w:t>3.理财产品成立后，我行将于每周前2个工作日内披露截至上周最后一个工作日的份额净值和</w:t>
            </w:r>
            <w:r>
              <w:rPr>
                <w:rFonts w:ascii="仿宋" w:eastAsia="仿宋" w:hAnsi="仿宋"/>
                <w:bCs/>
                <w:szCs w:val="21"/>
              </w:rPr>
              <w:t>份额累计收益</w:t>
            </w:r>
            <w:r>
              <w:rPr>
                <w:rFonts w:ascii="仿宋" w:eastAsia="仿宋" w:hAnsi="仿宋" w:hint="eastAsia"/>
                <w:bCs/>
                <w:szCs w:val="21"/>
              </w:rPr>
              <w:t>；在每个开放申购期/赎回开放期结束后2日内披露开放申购期最后一个</w:t>
            </w:r>
            <w:r>
              <w:rPr>
                <w:rFonts w:ascii="仿宋" w:eastAsia="仿宋" w:hAnsi="仿宋"/>
                <w:bCs/>
                <w:szCs w:val="21"/>
              </w:rPr>
              <w:t>自然日</w:t>
            </w:r>
            <w:r>
              <w:rPr>
                <w:rFonts w:ascii="仿宋" w:eastAsia="仿宋" w:hAnsi="仿宋" w:hint="eastAsia"/>
                <w:bCs/>
                <w:szCs w:val="21"/>
              </w:rPr>
              <w:t>的份额净值、份额累计净值、认购价格和赎回价格。</w:t>
            </w:r>
          </w:p>
        </w:tc>
      </w:tr>
      <w:tr w:rsidR="00CF79FF">
        <w:trPr>
          <w:trHeight w:val="2579"/>
        </w:trPr>
        <w:tc>
          <w:tcPr>
            <w:tcW w:w="1909" w:type="dxa"/>
            <w:vAlign w:val="center"/>
          </w:tcPr>
          <w:p w:rsidR="00CF79FF" w:rsidRDefault="00AB252A">
            <w:pPr>
              <w:jc w:val="center"/>
              <w:rPr>
                <w:rFonts w:ascii="仿宋" w:eastAsia="仿宋" w:hAnsi="仿宋"/>
                <w:b/>
                <w:kern w:val="0"/>
                <w:sz w:val="24"/>
                <w:szCs w:val="24"/>
                <w:u w:val="wave"/>
              </w:rPr>
            </w:pPr>
            <w:r>
              <w:rPr>
                <w:rFonts w:ascii="仿宋" w:eastAsia="仿宋" w:hAnsi="仿宋" w:hint="eastAsia"/>
                <w:b/>
                <w:kern w:val="0"/>
                <w:sz w:val="24"/>
                <w:szCs w:val="24"/>
              </w:rPr>
              <w:t>认/申购份额及赎回金额计算</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认购份额＝认购金额</w:t>
            </w:r>
            <w:r>
              <w:rPr>
                <w:rFonts w:ascii="仿宋" w:eastAsia="仿宋" w:hAnsi="仿宋"/>
                <w:bCs/>
                <w:szCs w:val="21"/>
              </w:rPr>
              <w:t>÷</w:t>
            </w:r>
            <w:r>
              <w:rPr>
                <w:rFonts w:ascii="仿宋" w:eastAsia="仿宋" w:hAnsi="仿宋" w:hint="eastAsia"/>
                <w:bCs/>
                <w:szCs w:val="21"/>
              </w:rPr>
              <w:t>1</w:t>
            </w:r>
            <w:r>
              <w:rPr>
                <w:rFonts w:ascii="仿宋" w:eastAsia="仿宋" w:hAnsi="仿宋"/>
                <w:bCs/>
                <w:szCs w:val="21"/>
              </w:rPr>
              <w:t xml:space="preserve"> </w:t>
            </w:r>
          </w:p>
          <w:p w:rsidR="00CF79FF" w:rsidRDefault="00AB252A">
            <w:pPr>
              <w:spacing w:line="360" w:lineRule="exact"/>
              <w:rPr>
                <w:rFonts w:ascii="仿宋" w:eastAsia="仿宋" w:hAnsi="仿宋"/>
                <w:bCs/>
                <w:szCs w:val="21"/>
              </w:rPr>
            </w:pPr>
            <w:r>
              <w:rPr>
                <w:rFonts w:ascii="仿宋" w:eastAsia="仿宋" w:hAnsi="仿宋" w:hint="eastAsia"/>
                <w:bCs/>
                <w:szCs w:val="21"/>
              </w:rPr>
              <w:t>申购份额＝申购金额</w:t>
            </w:r>
            <w:r>
              <w:rPr>
                <w:rFonts w:ascii="仿宋" w:eastAsia="仿宋" w:hAnsi="仿宋"/>
                <w:bCs/>
                <w:szCs w:val="21"/>
              </w:rPr>
              <w:t>÷</w:t>
            </w:r>
            <w:r>
              <w:rPr>
                <w:rFonts w:ascii="仿宋" w:eastAsia="仿宋" w:hAnsi="仿宋" w:hint="eastAsia"/>
                <w:bCs/>
                <w:szCs w:val="21"/>
              </w:rPr>
              <w:t>产品单位净值</w:t>
            </w:r>
          </w:p>
          <w:p w:rsidR="00CF79FF" w:rsidRDefault="00AB252A">
            <w:pPr>
              <w:spacing w:line="360" w:lineRule="exact"/>
              <w:rPr>
                <w:rFonts w:ascii="仿宋" w:eastAsia="仿宋" w:hAnsi="仿宋"/>
                <w:bCs/>
                <w:szCs w:val="21"/>
              </w:rPr>
            </w:pPr>
            <w:r>
              <w:rPr>
                <w:rFonts w:ascii="仿宋" w:eastAsia="仿宋" w:hAnsi="仿宋" w:hint="eastAsia"/>
                <w:bCs/>
                <w:szCs w:val="21"/>
              </w:rPr>
              <w:t>（申购</w:t>
            </w:r>
            <w:r>
              <w:rPr>
                <w:rFonts w:ascii="仿宋" w:eastAsia="仿宋" w:hAnsi="仿宋"/>
                <w:bCs/>
                <w:szCs w:val="21"/>
              </w:rPr>
              <w:t>份额</w:t>
            </w:r>
            <w:r>
              <w:rPr>
                <w:rFonts w:ascii="仿宋" w:eastAsia="仿宋" w:hAnsi="仿宋" w:hint="eastAsia"/>
                <w:bCs/>
                <w:szCs w:val="21"/>
              </w:rPr>
              <w:t>四舍五入保留至小数点后</w:t>
            </w:r>
            <w:r>
              <w:rPr>
                <w:rFonts w:ascii="仿宋" w:eastAsia="仿宋" w:hAnsi="仿宋"/>
                <w:bCs/>
                <w:szCs w:val="21"/>
              </w:rPr>
              <w:t>第</w:t>
            </w:r>
            <w:r>
              <w:rPr>
                <w:rFonts w:ascii="仿宋" w:eastAsia="仿宋" w:hAnsi="仿宋" w:hint="eastAsia"/>
                <w:bCs/>
                <w:szCs w:val="21"/>
              </w:rPr>
              <w:t>2位。</w:t>
            </w:r>
            <w:r>
              <w:rPr>
                <w:rFonts w:ascii="仿宋" w:eastAsia="仿宋" w:hAnsi="仿宋"/>
                <w:bCs/>
                <w:szCs w:val="21"/>
              </w:rPr>
              <w:t>）</w:t>
            </w:r>
          </w:p>
          <w:p w:rsidR="00CF79FF" w:rsidRDefault="00AB252A">
            <w:pPr>
              <w:spacing w:line="360" w:lineRule="exact"/>
              <w:rPr>
                <w:rFonts w:ascii="仿宋" w:eastAsia="仿宋" w:hAnsi="仿宋"/>
                <w:bCs/>
                <w:szCs w:val="21"/>
              </w:rPr>
            </w:pPr>
            <w:r>
              <w:rPr>
                <w:rFonts w:ascii="仿宋" w:eastAsia="仿宋" w:hAnsi="仿宋" w:hint="eastAsia"/>
                <w:bCs/>
                <w:szCs w:val="21"/>
              </w:rPr>
              <w:t>赎回金额＝赎回份额 ×产品单位净值</w:t>
            </w:r>
          </w:p>
          <w:p w:rsidR="00CF79FF" w:rsidRDefault="00AB252A">
            <w:pPr>
              <w:spacing w:line="360" w:lineRule="exact"/>
              <w:rPr>
                <w:rFonts w:ascii="仿宋" w:eastAsia="仿宋" w:hAnsi="仿宋"/>
                <w:bCs/>
                <w:szCs w:val="21"/>
              </w:rPr>
            </w:pPr>
            <w:r>
              <w:rPr>
                <w:rFonts w:ascii="仿宋" w:eastAsia="仿宋" w:hAnsi="仿宋" w:hint="eastAsia"/>
                <w:bCs/>
                <w:szCs w:val="21"/>
              </w:rPr>
              <w:t>“金额认（申）购、份额赎回</w:t>
            </w:r>
            <w:r>
              <w:rPr>
                <w:rFonts w:ascii="仿宋" w:eastAsia="仿宋" w:hAnsi="仿宋"/>
                <w:bCs/>
                <w:szCs w:val="21"/>
              </w:rPr>
              <w:t>”</w:t>
            </w:r>
            <w:r>
              <w:rPr>
                <w:rFonts w:ascii="仿宋" w:eastAsia="仿宋" w:hAnsi="仿宋" w:hint="eastAsia"/>
                <w:bCs/>
                <w:szCs w:val="21"/>
              </w:rPr>
              <w:t>，即认（申）</w:t>
            </w:r>
            <w:proofErr w:type="gramStart"/>
            <w:r>
              <w:rPr>
                <w:rFonts w:ascii="仿宋" w:eastAsia="仿宋" w:hAnsi="仿宋" w:hint="eastAsia"/>
                <w:bCs/>
                <w:szCs w:val="21"/>
              </w:rPr>
              <w:t>购以金额</w:t>
            </w:r>
            <w:proofErr w:type="gramEnd"/>
            <w:r>
              <w:rPr>
                <w:rFonts w:ascii="仿宋" w:eastAsia="仿宋" w:hAnsi="仿宋" w:hint="eastAsia"/>
                <w:bCs/>
                <w:szCs w:val="21"/>
              </w:rPr>
              <w:t>申请，赎回以份额申请。</w:t>
            </w:r>
          </w:p>
          <w:p w:rsidR="00CF79FF" w:rsidRDefault="00AB252A">
            <w:pPr>
              <w:spacing w:line="360" w:lineRule="exact"/>
              <w:rPr>
                <w:rFonts w:ascii="仿宋" w:eastAsia="仿宋" w:hAnsi="仿宋"/>
                <w:bCs/>
                <w:szCs w:val="21"/>
              </w:rPr>
            </w:pPr>
            <w:r>
              <w:rPr>
                <w:rFonts w:ascii="仿宋" w:eastAsia="仿宋" w:hAnsi="仿宋" w:hint="eastAsia"/>
                <w:bCs/>
                <w:szCs w:val="21"/>
              </w:rPr>
              <w:t>客户在募集期间认购产品的，期初产</w:t>
            </w:r>
            <w:proofErr w:type="gramStart"/>
            <w:r>
              <w:rPr>
                <w:rFonts w:ascii="仿宋" w:eastAsia="仿宋" w:hAnsi="仿宋" w:hint="eastAsia"/>
                <w:bCs/>
                <w:szCs w:val="21"/>
              </w:rPr>
              <w:t>品单位</w:t>
            </w:r>
            <w:proofErr w:type="gramEnd"/>
            <w:r>
              <w:rPr>
                <w:rFonts w:ascii="仿宋" w:eastAsia="仿宋" w:hAnsi="仿宋" w:hint="eastAsia"/>
                <w:bCs/>
                <w:szCs w:val="21"/>
              </w:rPr>
              <w:t>净值为1；客户在产品存续期间申购产品的，期初产</w:t>
            </w:r>
            <w:proofErr w:type="gramStart"/>
            <w:r>
              <w:rPr>
                <w:rFonts w:ascii="仿宋" w:eastAsia="仿宋" w:hAnsi="仿宋" w:hint="eastAsia"/>
                <w:bCs/>
                <w:szCs w:val="21"/>
              </w:rPr>
              <w:t>品单位</w:t>
            </w:r>
            <w:proofErr w:type="gramEnd"/>
            <w:r>
              <w:rPr>
                <w:rFonts w:ascii="仿宋" w:eastAsia="仿宋" w:hAnsi="仿宋" w:hint="eastAsia"/>
                <w:bCs/>
                <w:szCs w:val="21"/>
              </w:rPr>
              <w:t>净值为申购确认日上一自然日产</w:t>
            </w:r>
            <w:proofErr w:type="gramStart"/>
            <w:r>
              <w:rPr>
                <w:rFonts w:ascii="仿宋" w:eastAsia="仿宋" w:hAnsi="仿宋" w:hint="eastAsia"/>
                <w:bCs/>
                <w:szCs w:val="21"/>
              </w:rPr>
              <w:t>品单位</w:t>
            </w:r>
            <w:proofErr w:type="gramEnd"/>
            <w:r>
              <w:rPr>
                <w:rFonts w:ascii="仿宋" w:eastAsia="仿宋" w:hAnsi="仿宋" w:hint="eastAsia"/>
                <w:bCs/>
                <w:szCs w:val="21"/>
              </w:rPr>
              <w:t>净值；赎回产品单位净值为投资周期到期日或产品提前终止日上一自然日产</w:t>
            </w:r>
            <w:proofErr w:type="gramStart"/>
            <w:r>
              <w:rPr>
                <w:rFonts w:ascii="仿宋" w:eastAsia="仿宋" w:hAnsi="仿宋" w:hint="eastAsia"/>
                <w:bCs/>
                <w:szCs w:val="21"/>
              </w:rPr>
              <w:t>品单位</w:t>
            </w:r>
            <w:proofErr w:type="gramEnd"/>
            <w:r>
              <w:rPr>
                <w:rFonts w:ascii="仿宋" w:eastAsia="仿宋" w:hAnsi="仿宋" w:hint="eastAsia"/>
                <w:bCs/>
                <w:szCs w:val="21"/>
              </w:rPr>
              <w:t>净值。</w:t>
            </w:r>
          </w:p>
        </w:tc>
      </w:tr>
      <w:tr w:rsidR="00CF79FF">
        <w:trPr>
          <w:trHeight w:val="4250"/>
        </w:trPr>
        <w:tc>
          <w:tcPr>
            <w:tcW w:w="1909" w:type="dxa"/>
            <w:vAlign w:val="center"/>
          </w:tcPr>
          <w:p w:rsidR="00CF79FF" w:rsidRDefault="00AB252A">
            <w:pPr>
              <w:jc w:val="center"/>
              <w:rPr>
                <w:rFonts w:ascii="仿宋" w:eastAsia="仿宋" w:hAnsi="仿宋"/>
                <w:b/>
                <w:color w:val="000000" w:themeColor="text1"/>
                <w:kern w:val="0"/>
                <w:sz w:val="24"/>
                <w:szCs w:val="24"/>
              </w:rPr>
            </w:pPr>
            <w:r>
              <w:rPr>
                <w:rFonts w:ascii="仿宋" w:eastAsia="仿宋" w:hAnsi="仿宋" w:hint="eastAsia"/>
                <w:b/>
                <w:color w:val="000000" w:themeColor="text1"/>
                <w:kern w:val="0"/>
                <w:sz w:val="24"/>
                <w:szCs w:val="24"/>
              </w:rPr>
              <w:t>投资对象、投资范围及投资团队</w:t>
            </w:r>
          </w:p>
        </w:tc>
        <w:tc>
          <w:tcPr>
            <w:tcW w:w="8576" w:type="dxa"/>
            <w:gridSpan w:val="7"/>
            <w:vAlign w:val="center"/>
          </w:tcPr>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1.投资策略：</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1）大类资产配置策略：</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根据股</w:t>
            </w:r>
            <w:proofErr w:type="gramStart"/>
            <w:r>
              <w:rPr>
                <w:rFonts w:ascii="仿宋" w:eastAsia="仿宋" w:hAnsi="仿宋" w:hint="eastAsia"/>
                <w:bCs/>
                <w:color w:val="000000" w:themeColor="text1"/>
                <w:szCs w:val="21"/>
              </w:rPr>
              <w:t>债资产</w:t>
            </w:r>
            <w:proofErr w:type="gramEnd"/>
            <w:r>
              <w:rPr>
                <w:rFonts w:ascii="仿宋" w:eastAsia="仿宋" w:hAnsi="仿宋" w:hint="eastAsia"/>
                <w:bCs/>
                <w:color w:val="000000" w:themeColor="text1"/>
                <w:szCs w:val="21"/>
              </w:rPr>
              <w:t>预期回报和产品风险预算进行资产配置，并根据市场情况对各类资产配比进行动态调整。理财产品基于对以下各因素的判断在各类资产和策略之间进行配置：（</w:t>
            </w:r>
            <w:r>
              <w:rPr>
                <w:rFonts w:ascii="仿宋" w:eastAsia="仿宋" w:hAnsi="仿宋"/>
                <w:bCs/>
                <w:color w:val="000000" w:themeColor="text1"/>
                <w:szCs w:val="21"/>
              </w:rPr>
              <w:t>1）</w:t>
            </w:r>
            <w:r>
              <w:rPr>
                <w:rFonts w:ascii="仿宋" w:eastAsia="仿宋" w:hAnsi="仿宋" w:hint="eastAsia"/>
                <w:bCs/>
                <w:color w:val="000000" w:themeColor="text1"/>
                <w:szCs w:val="21"/>
              </w:rPr>
              <w:t>基于宏观经济及财政货币政策的分析，对固定收益类资产投资收益和风险的预测；（</w:t>
            </w:r>
            <w:r>
              <w:rPr>
                <w:rFonts w:ascii="仿宋" w:eastAsia="仿宋" w:hAnsi="仿宋"/>
                <w:bCs/>
                <w:color w:val="000000" w:themeColor="text1"/>
                <w:szCs w:val="21"/>
              </w:rPr>
              <w:t>2）</w:t>
            </w:r>
            <w:r>
              <w:rPr>
                <w:rFonts w:ascii="仿宋" w:eastAsia="仿宋" w:hAnsi="仿宋" w:hint="eastAsia"/>
                <w:bCs/>
                <w:color w:val="000000" w:themeColor="text1"/>
                <w:szCs w:val="21"/>
              </w:rPr>
              <w:t>基于</w:t>
            </w:r>
            <w:proofErr w:type="gramStart"/>
            <w:r>
              <w:rPr>
                <w:rFonts w:ascii="仿宋" w:eastAsia="仿宋" w:hAnsi="仿宋" w:hint="eastAsia"/>
                <w:bCs/>
                <w:color w:val="000000" w:themeColor="text1"/>
                <w:szCs w:val="21"/>
              </w:rPr>
              <w:t>股债性价</w:t>
            </w:r>
            <w:proofErr w:type="gramEnd"/>
            <w:r>
              <w:rPr>
                <w:rFonts w:ascii="仿宋" w:eastAsia="仿宋" w:hAnsi="仿宋" w:hint="eastAsia"/>
                <w:bCs/>
                <w:color w:val="000000" w:themeColor="text1"/>
                <w:szCs w:val="21"/>
              </w:rPr>
              <w:t>比以及投资者风险偏好的分析，对股票市场走势的预测；（</w:t>
            </w:r>
            <w:r>
              <w:rPr>
                <w:rFonts w:ascii="仿宋" w:eastAsia="仿宋" w:hAnsi="仿宋"/>
                <w:bCs/>
                <w:color w:val="000000" w:themeColor="text1"/>
                <w:szCs w:val="21"/>
              </w:rPr>
              <w:t>3）</w:t>
            </w:r>
            <w:r>
              <w:rPr>
                <w:rFonts w:ascii="仿宋" w:eastAsia="仿宋" w:hAnsi="仿宋" w:hint="eastAsia"/>
                <w:bCs/>
                <w:color w:val="000000" w:themeColor="text1"/>
                <w:szCs w:val="21"/>
              </w:rPr>
              <w:t>基于转债发行公司成长性以及转债估值水平的分析，对转债投资价值的判断；基于转债发行频率、中签率以及当时市场环境，对</w:t>
            </w:r>
            <w:proofErr w:type="gramStart"/>
            <w:r>
              <w:rPr>
                <w:rFonts w:ascii="仿宋" w:eastAsia="仿宋" w:hAnsi="仿宋" w:hint="eastAsia"/>
                <w:bCs/>
                <w:color w:val="000000" w:themeColor="text1"/>
                <w:szCs w:val="21"/>
              </w:rPr>
              <w:t>转债打新</w:t>
            </w:r>
            <w:proofErr w:type="gramEnd"/>
            <w:r>
              <w:rPr>
                <w:rFonts w:ascii="仿宋" w:eastAsia="仿宋" w:hAnsi="仿宋" w:hint="eastAsia"/>
                <w:bCs/>
                <w:color w:val="000000" w:themeColor="text1"/>
                <w:szCs w:val="21"/>
              </w:rPr>
              <w:t>策略价值的判断。</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2）债券类资产投资策略：</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灵活运用以下策略提高固定收益类资产的投资收益：（</w:t>
            </w:r>
            <w:r>
              <w:rPr>
                <w:rFonts w:ascii="仿宋" w:eastAsia="仿宋" w:hAnsi="仿宋"/>
                <w:bCs/>
                <w:color w:val="000000" w:themeColor="text1"/>
                <w:szCs w:val="21"/>
              </w:rPr>
              <w:t>1）</w:t>
            </w:r>
            <w:proofErr w:type="gramStart"/>
            <w:r>
              <w:rPr>
                <w:rFonts w:ascii="仿宋" w:eastAsia="仿宋" w:hAnsi="仿宋"/>
                <w:bCs/>
                <w:color w:val="000000" w:themeColor="text1"/>
                <w:szCs w:val="21"/>
              </w:rPr>
              <w:t>久期策略</w:t>
            </w:r>
            <w:proofErr w:type="gramEnd"/>
            <w:r>
              <w:rPr>
                <w:rFonts w:ascii="仿宋" w:eastAsia="仿宋" w:hAnsi="仿宋" w:hint="eastAsia"/>
                <w:bCs/>
                <w:color w:val="000000" w:themeColor="text1"/>
                <w:szCs w:val="21"/>
              </w:rPr>
              <w:t>，根据对经济增长、货币信贷、物价指数、固定资产投资、汇率等的分析，预测未来利率走势并调整债券组合平均久期；（</w:t>
            </w:r>
            <w:r>
              <w:rPr>
                <w:rFonts w:ascii="仿宋" w:eastAsia="仿宋" w:hAnsi="仿宋"/>
                <w:bCs/>
                <w:color w:val="000000" w:themeColor="text1"/>
                <w:szCs w:val="21"/>
              </w:rPr>
              <w:t>2）</w:t>
            </w:r>
            <w:r>
              <w:rPr>
                <w:rFonts w:ascii="仿宋" w:eastAsia="仿宋" w:hAnsi="仿宋" w:hint="eastAsia"/>
                <w:bCs/>
                <w:color w:val="000000" w:themeColor="text1"/>
                <w:szCs w:val="21"/>
              </w:rPr>
              <w:t>期限结构策略，根据对收益率曲线期限结构的判断，确定合适的期限结构配置策略，配置各期限固定收益品种的比例；（</w:t>
            </w:r>
            <w:r>
              <w:rPr>
                <w:rFonts w:ascii="仿宋" w:eastAsia="仿宋" w:hAnsi="仿宋"/>
                <w:bCs/>
                <w:color w:val="000000" w:themeColor="text1"/>
                <w:szCs w:val="21"/>
              </w:rPr>
              <w:t>3）</w:t>
            </w:r>
            <w:r>
              <w:rPr>
                <w:rFonts w:ascii="仿宋" w:eastAsia="仿宋" w:hAnsi="仿宋" w:hint="eastAsia"/>
                <w:bCs/>
                <w:color w:val="000000" w:themeColor="text1"/>
                <w:szCs w:val="21"/>
              </w:rPr>
              <w:t>精选个</w:t>
            </w:r>
            <w:proofErr w:type="gramStart"/>
            <w:r>
              <w:rPr>
                <w:rFonts w:ascii="仿宋" w:eastAsia="仿宋" w:hAnsi="仿宋" w:hint="eastAsia"/>
                <w:bCs/>
                <w:color w:val="000000" w:themeColor="text1"/>
                <w:szCs w:val="21"/>
              </w:rPr>
              <w:t>券</w:t>
            </w:r>
            <w:proofErr w:type="gramEnd"/>
            <w:r>
              <w:rPr>
                <w:rFonts w:ascii="仿宋" w:eastAsia="仿宋" w:hAnsi="仿宋" w:hint="eastAsia"/>
                <w:bCs/>
                <w:color w:val="000000" w:themeColor="text1"/>
                <w:szCs w:val="21"/>
              </w:rPr>
              <w:t>，结合行业发展趋势分析各信用品种的信用溢价，选择行业利差有压缩机会同时溢价较高的品种进行投资；（</w:t>
            </w:r>
            <w:r>
              <w:rPr>
                <w:rFonts w:ascii="仿宋" w:eastAsia="仿宋" w:hAnsi="仿宋"/>
                <w:bCs/>
                <w:color w:val="000000" w:themeColor="text1"/>
                <w:szCs w:val="21"/>
              </w:rPr>
              <w:t>4）根据对市场收益率未来走势的预测，通过积极的交易策略增厚债券类资产的投资收益率</w:t>
            </w:r>
            <w:r>
              <w:rPr>
                <w:rFonts w:ascii="仿宋" w:eastAsia="仿宋" w:hAnsi="仿宋" w:hint="eastAsia"/>
                <w:bCs/>
                <w:color w:val="000000" w:themeColor="text1"/>
                <w:szCs w:val="21"/>
              </w:rPr>
              <w:t>。</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3）权益类资产投资策略：</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灵活运用以下策略提高权益类资产的投资收益：（</w:t>
            </w:r>
            <w:r>
              <w:rPr>
                <w:rFonts w:ascii="仿宋" w:eastAsia="仿宋" w:hAnsi="仿宋"/>
                <w:bCs/>
                <w:color w:val="000000" w:themeColor="text1"/>
                <w:szCs w:val="21"/>
              </w:rPr>
              <w:t>1）</w:t>
            </w:r>
            <w:r>
              <w:rPr>
                <w:rFonts w:ascii="仿宋" w:eastAsia="仿宋" w:hAnsi="仿宋" w:hint="eastAsia"/>
                <w:bCs/>
                <w:color w:val="000000" w:themeColor="text1"/>
                <w:szCs w:val="21"/>
              </w:rPr>
              <w:t>精选主动管理型基金，通过对基金历史业绩、风险调整后收益、风险控制指标等对基金及基金经理进行分析选择选择投资能力突出的基金经理所管理的基金产品进行配置；（</w:t>
            </w:r>
            <w:r>
              <w:rPr>
                <w:rFonts w:ascii="仿宋" w:eastAsia="仿宋" w:hAnsi="仿宋"/>
                <w:bCs/>
                <w:color w:val="000000" w:themeColor="text1"/>
                <w:szCs w:val="21"/>
              </w:rPr>
              <w:t>2）</w:t>
            </w:r>
            <w:r>
              <w:rPr>
                <w:rFonts w:ascii="仿宋" w:eastAsia="仿宋" w:hAnsi="仿宋" w:hint="eastAsia"/>
                <w:bCs/>
                <w:color w:val="000000" w:themeColor="text1"/>
                <w:szCs w:val="21"/>
              </w:rPr>
              <w:t>组合配置上，卫星部分采用主题轮动策略，通过对经济基本面和行业发展趋势的分析，在消费、科技、基础设施建设、稳定分红等风格中选择估值与发展相匹配的主题进行重点配置；（</w:t>
            </w:r>
            <w:r>
              <w:rPr>
                <w:rFonts w:ascii="仿宋" w:eastAsia="仿宋" w:hAnsi="仿宋"/>
                <w:bCs/>
                <w:color w:val="000000" w:themeColor="text1"/>
                <w:szCs w:val="21"/>
              </w:rPr>
              <w:t>3）</w:t>
            </w:r>
            <w:r>
              <w:rPr>
                <w:rFonts w:ascii="仿宋" w:eastAsia="仿宋" w:hAnsi="仿宋" w:hint="eastAsia"/>
                <w:bCs/>
                <w:color w:val="000000" w:themeColor="text1"/>
                <w:szCs w:val="21"/>
              </w:rPr>
              <w:t>根据风险预算积极进行权益类资产的配置，权益类资产占比不超过</w:t>
            </w:r>
            <w:r>
              <w:rPr>
                <w:rFonts w:ascii="仿宋" w:eastAsia="仿宋" w:hAnsi="仿宋"/>
                <w:bCs/>
                <w:color w:val="000000" w:themeColor="text1"/>
                <w:szCs w:val="21"/>
              </w:rPr>
              <w:t>20%</w:t>
            </w:r>
            <w:r>
              <w:rPr>
                <w:rFonts w:ascii="仿宋" w:eastAsia="仿宋" w:hAnsi="仿宋" w:hint="eastAsia"/>
                <w:bCs/>
                <w:color w:val="000000" w:themeColor="text1"/>
                <w:szCs w:val="21"/>
              </w:rPr>
              <w:t>。</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lastRenderedPageBreak/>
              <w:t>2.本产品资金投向及投资范围为：债券（包括国债、中央银行票据、金融债、地方政府债、企业债、公司债、短期融资</w:t>
            </w:r>
            <w:proofErr w:type="gramStart"/>
            <w:r>
              <w:rPr>
                <w:rFonts w:ascii="仿宋" w:eastAsia="仿宋" w:hAnsi="仿宋"/>
                <w:bCs/>
                <w:color w:val="000000" w:themeColor="text1"/>
                <w:szCs w:val="21"/>
              </w:rPr>
              <w:t>券</w:t>
            </w:r>
            <w:proofErr w:type="gramEnd"/>
            <w:r>
              <w:rPr>
                <w:rFonts w:ascii="仿宋" w:eastAsia="仿宋" w:hAnsi="仿宋"/>
                <w:bCs/>
                <w:color w:val="000000" w:themeColor="text1"/>
                <w:szCs w:val="21"/>
              </w:rPr>
              <w:t>、超短期融资</w:t>
            </w:r>
            <w:proofErr w:type="gramStart"/>
            <w:r>
              <w:rPr>
                <w:rFonts w:ascii="仿宋" w:eastAsia="仿宋" w:hAnsi="仿宋"/>
                <w:bCs/>
                <w:color w:val="000000" w:themeColor="text1"/>
                <w:szCs w:val="21"/>
              </w:rPr>
              <w:t>券</w:t>
            </w:r>
            <w:proofErr w:type="gramEnd"/>
            <w:r>
              <w:rPr>
                <w:rFonts w:ascii="仿宋" w:eastAsia="仿宋" w:hAnsi="仿宋"/>
                <w:bCs/>
                <w:color w:val="000000" w:themeColor="text1"/>
                <w:szCs w:val="21"/>
              </w:rPr>
              <w:t>、中期票据、次级债、政府支持机构债券、证券公司短期公司债券、中小企业私募债、可转换债券、可交换债券以及法律法规或监管机构允许</w:t>
            </w:r>
            <w:proofErr w:type="gramStart"/>
            <w:r>
              <w:rPr>
                <w:rFonts w:ascii="仿宋" w:eastAsia="仿宋" w:hAnsi="仿宋"/>
                <w:bCs/>
                <w:color w:val="000000" w:themeColor="text1"/>
                <w:szCs w:val="21"/>
              </w:rPr>
              <w:t>银行资管投资</w:t>
            </w:r>
            <w:proofErr w:type="gramEnd"/>
            <w:r>
              <w:rPr>
                <w:rFonts w:ascii="仿宋" w:eastAsia="仿宋" w:hAnsi="仿宋"/>
                <w:bCs/>
                <w:color w:val="000000" w:themeColor="text1"/>
                <w:szCs w:val="21"/>
              </w:rPr>
              <w:t>的其他债券）、资产支持证券、理财直接融资工具、债权融资计划、股票质押式回购、银行存单、同业存单、存放同业、同业借款、债券回购、现金、股票，投资标的为上述资产的基金、</w:t>
            </w:r>
            <w:proofErr w:type="gramStart"/>
            <w:r>
              <w:rPr>
                <w:rFonts w:ascii="仿宋" w:eastAsia="仿宋" w:hAnsi="仿宋"/>
                <w:bCs/>
                <w:color w:val="000000" w:themeColor="text1"/>
                <w:szCs w:val="21"/>
              </w:rPr>
              <w:t>资管计划</w:t>
            </w:r>
            <w:proofErr w:type="gramEnd"/>
            <w:r>
              <w:rPr>
                <w:rFonts w:ascii="仿宋" w:eastAsia="仿宋" w:hAnsi="仿宋"/>
                <w:bCs/>
                <w:color w:val="000000" w:themeColor="text1"/>
                <w:szCs w:val="21"/>
              </w:rPr>
              <w:t>、信托计划等监管认可的金融产品，以及法律法规或监管机构允许银行理财投资的其他金融工具。</w:t>
            </w:r>
            <w:r>
              <w:rPr>
                <w:rFonts w:ascii="仿宋" w:eastAsia="仿宋" w:hAnsi="仿宋" w:hint="eastAsia"/>
                <w:bCs/>
                <w:color w:val="000000" w:themeColor="text1"/>
                <w:szCs w:val="21"/>
              </w:rPr>
              <w:t>产品面临利率、汇率变化等市场风险以及资产价格波动风险。</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3.</w:t>
            </w:r>
            <w:r>
              <w:rPr>
                <w:rFonts w:ascii="仿宋" w:eastAsia="仿宋" w:hAnsi="仿宋" w:hint="eastAsia"/>
                <w:bCs/>
                <w:color w:val="000000" w:themeColor="text1"/>
                <w:szCs w:val="21"/>
              </w:rPr>
              <w:t>投资比例：固定收益类资产、货币市场工具以及以前述资产为投资标的</w:t>
            </w:r>
            <w:proofErr w:type="gramStart"/>
            <w:r>
              <w:rPr>
                <w:rFonts w:ascii="仿宋" w:eastAsia="仿宋" w:hAnsi="仿宋" w:hint="eastAsia"/>
                <w:bCs/>
                <w:color w:val="000000" w:themeColor="text1"/>
                <w:szCs w:val="21"/>
              </w:rPr>
              <w:t>的</w:t>
            </w:r>
            <w:proofErr w:type="gramEnd"/>
            <w:r>
              <w:rPr>
                <w:rFonts w:ascii="仿宋" w:eastAsia="仿宋" w:hAnsi="仿宋" w:hint="eastAsia"/>
                <w:bCs/>
                <w:color w:val="000000" w:themeColor="text1"/>
                <w:szCs w:val="21"/>
              </w:rPr>
              <w:t>金融产品比</w:t>
            </w:r>
            <w:r>
              <w:rPr>
                <w:rFonts w:ascii="仿宋" w:eastAsia="仿宋" w:hAnsi="仿宋"/>
                <w:bCs/>
                <w:color w:val="000000" w:themeColor="text1"/>
                <w:szCs w:val="21"/>
              </w:rPr>
              <w:t>80%-100%，</w:t>
            </w:r>
            <w:r>
              <w:rPr>
                <w:rFonts w:ascii="仿宋" w:eastAsia="仿宋" w:hAnsi="仿宋" w:hint="eastAsia"/>
                <w:bCs/>
                <w:color w:val="000000" w:themeColor="text1"/>
                <w:szCs w:val="21"/>
              </w:rPr>
              <w:t>权益类及其他资产占比</w:t>
            </w:r>
            <w:r>
              <w:rPr>
                <w:rFonts w:ascii="仿宋" w:eastAsia="仿宋" w:hAnsi="仿宋"/>
                <w:bCs/>
                <w:color w:val="000000" w:themeColor="text1"/>
                <w:szCs w:val="21"/>
              </w:rPr>
              <w:t>0%-20%。</w:t>
            </w:r>
            <w:r>
              <w:rPr>
                <w:rFonts w:ascii="仿宋" w:eastAsia="仿宋" w:hAnsi="仿宋" w:hint="eastAsia"/>
                <w:bCs/>
                <w:color w:val="000000" w:themeColor="text1"/>
                <w:szCs w:val="21"/>
              </w:rPr>
              <w:t>本产品杠杆水平上限为140%。</w:t>
            </w:r>
          </w:p>
          <w:p w:rsidR="00CF79FF" w:rsidRDefault="00AB252A">
            <w:pPr>
              <w:spacing w:line="360" w:lineRule="exact"/>
              <w:rPr>
                <w:rFonts w:ascii="仿宋" w:eastAsia="仿宋" w:hAnsi="仿宋"/>
                <w:bCs/>
                <w:color w:val="000000" w:themeColor="text1"/>
                <w:szCs w:val="21"/>
              </w:rPr>
            </w:pPr>
            <w:r>
              <w:rPr>
                <w:rFonts w:ascii="仿宋" w:eastAsia="仿宋" w:hAnsi="仿宋"/>
                <w:bCs/>
                <w:color w:val="000000" w:themeColor="text1"/>
                <w:szCs w:val="21"/>
              </w:rPr>
              <w:t>4．</w:t>
            </w:r>
            <w:r>
              <w:rPr>
                <w:rFonts w:ascii="仿宋" w:eastAsia="仿宋" w:hAnsi="仿宋" w:hint="eastAsia"/>
                <w:bCs/>
                <w:color w:val="000000" w:themeColor="text1"/>
                <w:szCs w:val="21"/>
              </w:rPr>
              <w:t>投资团队为：</w:t>
            </w:r>
            <w:r>
              <w:rPr>
                <w:rFonts w:ascii="仿宋" w:eastAsia="仿宋" w:hAnsi="仿宋"/>
                <w:bCs/>
                <w:color w:val="000000" w:themeColor="text1"/>
                <w:szCs w:val="21"/>
              </w:rPr>
              <w:t xml:space="preserve"> </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本理财产品的管理人为天津银行。天津银行接受客户的委托和授权，按照本产品说明书约定的投资方向和方式进行投资和资产管理，代表客户签订投资和资产管理过程中涉及到的协议、合同等文本。</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投资人在此授权并同意天津银行享有以下权利：</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以理财产品投资管理人的名义，依照法律法规相关规定以及为理财产品投资人的利益，对被投资的各类投资对象代为行使出资人</w:t>
            </w:r>
            <w:r>
              <w:rPr>
                <w:rFonts w:ascii="仿宋" w:eastAsia="仿宋" w:hAnsi="仿宋"/>
                <w:bCs/>
                <w:color w:val="000000" w:themeColor="text1"/>
                <w:szCs w:val="21"/>
              </w:rPr>
              <w:t>/</w:t>
            </w:r>
            <w:r>
              <w:rPr>
                <w:rFonts w:ascii="仿宋" w:eastAsia="仿宋" w:hAnsi="仿宋" w:hint="eastAsia"/>
                <w:bCs/>
                <w:color w:val="000000" w:themeColor="text1"/>
                <w:szCs w:val="21"/>
              </w:rPr>
              <w:t>投资人权利以及其他相关权利。</w:t>
            </w:r>
          </w:p>
          <w:p w:rsidR="00CF79FF" w:rsidRDefault="00AB252A">
            <w:pPr>
              <w:spacing w:line="360" w:lineRule="exact"/>
              <w:rPr>
                <w:rFonts w:ascii="仿宋" w:eastAsia="仿宋" w:hAnsi="仿宋"/>
                <w:bCs/>
                <w:color w:val="000000" w:themeColor="text1"/>
                <w:szCs w:val="21"/>
              </w:rPr>
            </w:pPr>
            <w:r>
              <w:rPr>
                <w:rFonts w:ascii="仿宋" w:eastAsia="仿宋" w:hAnsi="仿宋" w:hint="eastAsia"/>
                <w:bCs/>
                <w:color w:val="000000" w:themeColor="text1"/>
                <w:szCs w:val="21"/>
              </w:rPr>
              <w:t>以理财产品投资管理人的名义，依照法律法规相关规定以及代表理财产品投资人的利益行使代为追索的权利（包括但不限于提起诉讼</w:t>
            </w:r>
            <w:r>
              <w:rPr>
                <w:rFonts w:ascii="仿宋" w:eastAsia="仿宋" w:hAnsi="仿宋"/>
                <w:bCs/>
                <w:color w:val="000000" w:themeColor="text1"/>
                <w:szCs w:val="21"/>
              </w:rPr>
              <w:t>/仲裁、申请保全/执行的权利）或者实施其他法律行为，产生的合理费用由理财产品承担。</w:t>
            </w:r>
          </w:p>
          <w:p w:rsidR="00CF79FF" w:rsidRDefault="00AB252A">
            <w:pPr>
              <w:spacing w:line="360" w:lineRule="exact"/>
              <w:rPr>
                <w:rFonts w:ascii="仿宋" w:eastAsia="仿宋" w:hAnsi="仿宋"/>
                <w:bCs/>
                <w:color w:val="000000" w:themeColor="text1"/>
                <w:szCs w:val="21"/>
              </w:rPr>
            </w:pPr>
            <w:r>
              <w:rPr>
                <w:rFonts w:ascii="仿宋_GB2312" w:eastAsia="仿宋_GB2312" w:hint="eastAsia"/>
                <w:b/>
                <w:bCs/>
                <w:color w:val="000000" w:themeColor="text1"/>
                <w:szCs w:val="21"/>
              </w:rPr>
              <w:t>天津银行有权根据相关法律、国家政策规定以及市场情况，依照本说明书的约定予以公告后，在不改变本产品类型的情况下，对本产品的投资范围、投资品种和投资比例进行调整。若超出投资比例投资于低风险资产，则无需征得投资人同意。除此之外，投资人对此无异议且同意在上述调整情况下继续持有本理财产品。若投资人不同意上述调整，可在上述调整生效前赎回所持有理财产品份额。若客户未在规定时间内提前赎回本产品，则视为对相关调整无异议且同意在调整后继续持有本理财产品。银行有权根据市场情况并依照本说明书的约定予以公告后，在不损害投资者利益情况下，对本理财计划的投资范围、投资品种和投资比例进行调整。投资者对此无异议且同意在上述情况下继续持有本理财计划。</w:t>
            </w:r>
          </w:p>
        </w:tc>
      </w:tr>
      <w:tr w:rsidR="00CF79FF">
        <w:trPr>
          <w:trHeight w:val="3607"/>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业绩比较基准</w:t>
            </w:r>
          </w:p>
        </w:tc>
        <w:tc>
          <w:tcPr>
            <w:tcW w:w="8576" w:type="dxa"/>
            <w:gridSpan w:val="7"/>
            <w:vAlign w:val="center"/>
          </w:tcPr>
          <w:p w:rsidR="00CF79FF" w:rsidRDefault="00AB252A">
            <w:pPr>
              <w:spacing w:line="360" w:lineRule="exact"/>
              <w:rPr>
                <w:rFonts w:ascii="仿宋" w:eastAsia="仿宋" w:hAnsi="仿宋"/>
                <w:b/>
                <w:bCs/>
                <w:color w:val="000000"/>
                <w:szCs w:val="21"/>
              </w:rPr>
            </w:pPr>
            <w:r>
              <w:rPr>
                <w:rFonts w:ascii="仿宋" w:eastAsia="仿宋" w:hAnsi="仿宋" w:hint="eastAsia"/>
                <w:b/>
                <w:bCs/>
                <w:color w:val="000000"/>
                <w:szCs w:val="21"/>
              </w:rPr>
              <w:t>1</w:t>
            </w:r>
            <w:r>
              <w:rPr>
                <w:rFonts w:ascii="仿宋" w:eastAsia="仿宋" w:hAnsi="仿宋"/>
                <w:b/>
                <w:bCs/>
                <w:color w:val="000000"/>
                <w:szCs w:val="21"/>
              </w:rPr>
              <w:t>.</w:t>
            </w:r>
            <w:r>
              <w:rPr>
                <w:rFonts w:ascii="仿宋" w:eastAsia="仿宋" w:hAnsi="仿宋" w:hint="eastAsia"/>
                <w:b/>
                <w:bCs/>
                <w:color w:val="000000"/>
                <w:szCs w:val="21"/>
              </w:rPr>
              <w:t>本产品为净值型产品，业绩表现将随市场波动，具有不确定性。</w:t>
            </w:r>
          </w:p>
          <w:p w:rsidR="00CF79FF" w:rsidRDefault="00AB252A">
            <w:pPr>
              <w:spacing w:line="360" w:lineRule="exact"/>
              <w:rPr>
                <w:rFonts w:ascii="仿宋" w:eastAsia="仿宋" w:hAnsi="仿宋"/>
                <w:bCs/>
                <w:color w:val="000000"/>
                <w:szCs w:val="21"/>
              </w:rPr>
            </w:pPr>
            <w:r>
              <w:rPr>
                <w:rFonts w:ascii="仿宋" w:eastAsia="仿宋" w:hAnsi="仿宋" w:hint="eastAsia"/>
                <w:bCs/>
                <w:color w:val="000000"/>
                <w:szCs w:val="21"/>
              </w:rPr>
              <w:t>2</w:t>
            </w:r>
            <w:r>
              <w:rPr>
                <w:rFonts w:ascii="仿宋" w:eastAsia="仿宋" w:hAnsi="仿宋"/>
                <w:bCs/>
                <w:color w:val="000000"/>
                <w:szCs w:val="21"/>
              </w:rPr>
              <w:t>.</w:t>
            </w:r>
            <w:r>
              <w:rPr>
                <w:rFonts w:ascii="仿宋" w:eastAsia="仿宋" w:hAnsi="仿宋" w:hint="eastAsia"/>
                <w:bCs/>
                <w:color w:val="000000"/>
                <w:szCs w:val="21"/>
              </w:rPr>
              <w:t>本产品业绩比较基准为</w:t>
            </w:r>
            <w:r>
              <w:rPr>
                <w:rFonts w:ascii="仿宋" w:eastAsia="仿宋" w:hAnsi="仿宋"/>
                <w:bCs/>
                <w:color w:val="000000"/>
                <w:szCs w:val="21"/>
              </w:rPr>
              <w:t>3.3%-6%(</w:t>
            </w:r>
            <w:proofErr w:type="gramStart"/>
            <w:r>
              <w:rPr>
                <w:rFonts w:ascii="仿宋" w:eastAsia="仿宋" w:hAnsi="仿宋" w:hint="eastAsia"/>
                <w:bCs/>
                <w:color w:val="000000"/>
                <w:szCs w:val="21"/>
              </w:rPr>
              <w:t>年化</w:t>
            </w:r>
            <w:proofErr w:type="gramEnd"/>
            <w:r>
              <w:rPr>
                <w:rFonts w:ascii="仿宋" w:eastAsia="仿宋" w:hAnsi="仿宋"/>
                <w:bCs/>
                <w:color w:val="000000"/>
                <w:szCs w:val="21"/>
              </w:rPr>
              <w:t>)</w:t>
            </w:r>
            <w:r>
              <w:rPr>
                <w:rFonts w:ascii="仿宋" w:eastAsia="仿宋" w:hAnsi="仿宋" w:hint="eastAsia"/>
                <w:bCs/>
                <w:color w:val="000000"/>
                <w:szCs w:val="21"/>
              </w:rPr>
              <w:t>。</w:t>
            </w:r>
            <w:r>
              <w:rPr>
                <w:rFonts w:ascii="仿宋" w:eastAsia="仿宋" w:hAnsi="仿宋" w:hint="eastAsia"/>
                <w:b/>
                <w:bCs/>
                <w:color w:val="000000"/>
                <w:szCs w:val="21"/>
              </w:rPr>
              <w:t>业绩比较基准由产品管理人依据理财产品的投资范围及比例、投资策略，并综合考虑市场环境因素测算。业绩比较基准不是理财产品预期收益率，仅作为产品投资管理的业绩比较基础，不构成对产品实际投资收益率的承诺或担保。本产品实际收益率将可能低于业绩比较基准，甚至有可能无法取得任何收益。理财产品过往业绩不代表其未来表现，不等于理财产品实际收益，投资须谨慎。</w:t>
            </w:r>
          </w:p>
          <w:p w:rsidR="00CF79FF" w:rsidRDefault="00AB252A">
            <w:pPr>
              <w:spacing w:line="360" w:lineRule="exact"/>
              <w:rPr>
                <w:rFonts w:ascii="仿宋" w:eastAsia="仿宋" w:hAnsi="仿宋"/>
                <w:bCs/>
                <w:color w:val="000000"/>
                <w:szCs w:val="21"/>
              </w:rPr>
            </w:pPr>
            <w:r>
              <w:rPr>
                <w:rFonts w:ascii="仿宋" w:eastAsia="仿宋" w:hAnsi="仿宋" w:hint="eastAsia"/>
                <w:bCs/>
                <w:color w:val="000000"/>
                <w:szCs w:val="21"/>
              </w:rPr>
              <w:t>3</w:t>
            </w:r>
            <w:r>
              <w:rPr>
                <w:rFonts w:ascii="仿宋" w:eastAsia="仿宋" w:hAnsi="仿宋"/>
                <w:bCs/>
                <w:color w:val="000000"/>
                <w:szCs w:val="21"/>
              </w:rPr>
              <w:t>.</w:t>
            </w:r>
            <w:r>
              <w:rPr>
                <w:rFonts w:ascii="仿宋" w:eastAsia="仿宋" w:hAnsi="仿宋" w:hint="eastAsia"/>
                <w:bCs/>
                <w:color w:val="000000"/>
                <w:szCs w:val="21"/>
              </w:rPr>
              <w:t>天津银行作为产品管理人，将根据市场利率变动及资金运作情况不定期调整业绩比较基准，并通过天津银行营业网点或官方网站告知投资人。如今后法律法规发生变化，或者有其他代表性更强、更科学客观的业绩比较基准适用于本产品时，天津银行有权变</w:t>
            </w:r>
            <w:proofErr w:type="gramStart"/>
            <w:r>
              <w:rPr>
                <w:rFonts w:ascii="仿宋" w:eastAsia="仿宋" w:hAnsi="仿宋" w:hint="eastAsia"/>
                <w:bCs/>
                <w:color w:val="000000"/>
                <w:szCs w:val="21"/>
              </w:rPr>
              <w:t>更业绩</w:t>
            </w:r>
            <w:proofErr w:type="gramEnd"/>
            <w:r>
              <w:rPr>
                <w:rFonts w:ascii="仿宋" w:eastAsia="仿宋" w:hAnsi="仿宋" w:hint="eastAsia"/>
                <w:bCs/>
                <w:color w:val="000000"/>
                <w:szCs w:val="21"/>
              </w:rPr>
              <w:t>比较基准并及时公告。</w:t>
            </w:r>
          </w:p>
        </w:tc>
      </w:tr>
      <w:tr w:rsidR="00CF79FF">
        <w:trPr>
          <w:trHeight w:val="3259"/>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相关税费</w:t>
            </w:r>
          </w:p>
        </w:tc>
        <w:tc>
          <w:tcPr>
            <w:tcW w:w="8576" w:type="dxa"/>
            <w:gridSpan w:val="7"/>
            <w:vAlign w:val="center"/>
          </w:tcPr>
          <w:p w:rsidR="00CF79FF" w:rsidRDefault="00AB252A">
            <w:pPr>
              <w:pStyle w:val="1"/>
              <w:spacing w:line="360" w:lineRule="exact"/>
              <w:ind w:firstLineChars="0" w:firstLine="0"/>
              <w:rPr>
                <w:rFonts w:ascii="仿宋" w:eastAsia="仿宋" w:hAnsi="仿宋"/>
                <w:bCs/>
                <w:szCs w:val="21"/>
              </w:rPr>
            </w:pPr>
            <w:r>
              <w:rPr>
                <w:rFonts w:ascii="仿宋" w:eastAsia="仿宋" w:hAnsi="仿宋"/>
                <w:bCs/>
                <w:szCs w:val="21"/>
              </w:rPr>
              <w:t>1.</w:t>
            </w:r>
            <w:r>
              <w:rPr>
                <w:rFonts w:ascii="仿宋" w:eastAsia="仿宋" w:hAnsi="仿宋" w:hint="eastAsia"/>
                <w:bCs/>
                <w:szCs w:val="21"/>
              </w:rPr>
              <w:t>期间费用：销售手续费年化费率：0.300%，投资管理费年化费率0.200%，</w:t>
            </w:r>
            <w:proofErr w:type="gramStart"/>
            <w:r>
              <w:rPr>
                <w:rFonts w:ascii="仿宋" w:eastAsia="仿宋" w:hAnsi="仿宋" w:hint="eastAsia"/>
                <w:bCs/>
                <w:szCs w:val="21"/>
              </w:rPr>
              <w:t>托管费年化费</w:t>
            </w:r>
            <w:proofErr w:type="gramEnd"/>
            <w:r>
              <w:rPr>
                <w:rFonts w:ascii="仿宋" w:eastAsia="仿宋" w:hAnsi="仿宋" w:hint="eastAsia"/>
                <w:bCs/>
                <w:szCs w:val="21"/>
              </w:rPr>
              <w:t>率：0.004%，产品运营管理费：0.000%，期间费用按照前一自然日产</w:t>
            </w:r>
            <w:proofErr w:type="gramStart"/>
            <w:r>
              <w:rPr>
                <w:rFonts w:ascii="仿宋" w:eastAsia="仿宋" w:hAnsi="仿宋" w:hint="eastAsia"/>
                <w:bCs/>
                <w:szCs w:val="21"/>
              </w:rPr>
              <w:t>品资产</w:t>
            </w:r>
            <w:proofErr w:type="gramEnd"/>
            <w:r>
              <w:rPr>
                <w:rFonts w:ascii="仿宋" w:eastAsia="仿宋" w:hAnsi="仿宋" w:hint="eastAsia"/>
                <w:bCs/>
                <w:szCs w:val="21"/>
              </w:rPr>
              <w:t>净值每个自然日从理财财产中计提。本产品暂不收取认购费、申购费、赎回费。</w:t>
            </w:r>
          </w:p>
          <w:p w:rsidR="00CF79FF" w:rsidRDefault="00AB252A">
            <w:pPr>
              <w:pStyle w:val="1"/>
              <w:spacing w:line="360" w:lineRule="exact"/>
              <w:ind w:left="420" w:firstLineChars="0" w:firstLine="0"/>
              <w:rPr>
                <w:rFonts w:ascii="仿宋" w:eastAsia="仿宋" w:hAnsi="仿宋"/>
                <w:bCs/>
                <w:szCs w:val="21"/>
              </w:rPr>
            </w:pPr>
            <w:r>
              <w:rPr>
                <w:rFonts w:ascii="仿宋" w:eastAsia="仿宋" w:hAnsi="仿宋" w:hint="eastAsia"/>
                <w:bCs/>
                <w:szCs w:val="21"/>
              </w:rPr>
              <w:t>公式计算：</w:t>
            </w:r>
          </w:p>
          <w:p w:rsidR="00CF79FF" w:rsidRDefault="00AB252A">
            <w:pPr>
              <w:pStyle w:val="1"/>
              <w:spacing w:line="360" w:lineRule="exact"/>
              <w:ind w:left="420" w:firstLineChars="0" w:firstLine="0"/>
              <w:rPr>
                <w:rFonts w:ascii="仿宋" w:eastAsia="仿宋" w:hAnsi="仿宋"/>
                <w:bCs/>
                <w:szCs w:val="21"/>
              </w:rPr>
            </w:pPr>
            <w:r>
              <w:rPr>
                <w:rFonts w:ascii="仿宋" w:eastAsia="仿宋" w:hAnsi="仿宋" w:hint="eastAsia"/>
                <w:bCs/>
                <w:szCs w:val="21"/>
              </w:rPr>
              <w:t>每日销售手续费=前一自然日产</w:t>
            </w:r>
            <w:proofErr w:type="gramStart"/>
            <w:r>
              <w:rPr>
                <w:rFonts w:ascii="仿宋" w:eastAsia="仿宋" w:hAnsi="仿宋" w:hint="eastAsia"/>
                <w:bCs/>
                <w:szCs w:val="21"/>
              </w:rPr>
              <w:t>品资产</w:t>
            </w:r>
            <w:proofErr w:type="gramEnd"/>
            <w:r>
              <w:rPr>
                <w:rFonts w:ascii="仿宋" w:eastAsia="仿宋" w:hAnsi="仿宋" w:hint="eastAsia"/>
                <w:bCs/>
                <w:szCs w:val="21"/>
              </w:rPr>
              <w:t>净值×0.300%/365，按自然日计提；</w:t>
            </w:r>
          </w:p>
          <w:p w:rsidR="00CF79FF" w:rsidRDefault="00AB252A">
            <w:pPr>
              <w:pStyle w:val="1"/>
              <w:spacing w:line="360" w:lineRule="exact"/>
              <w:ind w:left="420" w:firstLineChars="0" w:firstLine="0"/>
              <w:rPr>
                <w:rFonts w:ascii="仿宋" w:eastAsia="仿宋" w:hAnsi="仿宋"/>
                <w:bCs/>
                <w:szCs w:val="21"/>
              </w:rPr>
            </w:pPr>
            <w:r>
              <w:rPr>
                <w:rFonts w:ascii="仿宋" w:eastAsia="仿宋" w:hAnsi="仿宋" w:hint="eastAsia"/>
                <w:bCs/>
                <w:szCs w:val="21"/>
              </w:rPr>
              <w:t>每日投资管理费=前一自然日产</w:t>
            </w:r>
            <w:proofErr w:type="gramStart"/>
            <w:r>
              <w:rPr>
                <w:rFonts w:ascii="仿宋" w:eastAsia="仿宋" w:hAnsi="仿宋" w:hint="eastAsia"/>
                <w:bCs/>
                <w:szCs w:val="21"/>
              </w:rPr>
              <w:t>品资产</w:t>
            </w:r>
            <w:proofErr w:type="gramEnd"/>
            <w:r>
              <w:rPr>
                <w:rFonts w:ascii="仿宋" w:eastAsia="仿宋" w:hAnsi="仿宋" w:hint="eastAsia"/>
                <w:bCs/>
                <w:szCs w:val="21"/>
              </w:rPr>
              <w:t>净值×0.200%/365，按自然日计提；</w:t>
            </w:r>
          </w:p>
          <w:p w:rsidR="00CF79FF" w:rsidRDefault="00AB252A">
            <w:pPr>
              <w:pStyle w:val="1"/>
              <w:spacing w:line="360" w:lineRule="exact"/>
              <w:ind w:left="420" w:firstLineChars="0" w:firstLine="0"/>
              <w:rPr>
                <w:rFonts w:ascii="仿宋" w:eastAsia="仿宋" w:hAnsi="仿宋"/>
                <w:bCs/>
                <w:szCs w:val="21"/>
              </w:rPr>
            </w:pPr>
            <w:r>
              <w:rPr>
                <w:rFonts w:ascii="仿宋" w:eastAsia="仿宋" w:hAnsi="仿宋" w:hint="eastAsia"/>
                <w:bCs/>
                <w:szCs w:val="21"/>
              </w:rPr>
              <w:t>每日托管费=前一自然日产</w:t>
            </w:r>
            <w:proofErr w:type="gramStart"/>
            <w:r>
              <w:rPr>
                <w:rFonts w:ascii="仿宋" w:eastAsia="仿宋" w:hAnsi="仿宋" w:hint="eastAsia"/>
                <w:bCs/>
                <w:szCs w:val="21"/>
              </w:rPr>
              <w:t>品资产</w:t>
            </w:r>
            <w:proofErr w:type="gramEnd"/>
            <w:r>
              <w:rPr>
                <w:rFonts w:ascii="仿宋" w:eastAsia="仿宋" w:hAnsi="仿宋" w:hint="eastAsia"/>
                <w:bCs/>
                <w:szCs w:val="21"/>
              </w:rPr>
              <w:t>净值×0.004%/365，按自然日计提；</w:t>
            </w:r>
          </w:p>
          <w:p w:rsidR="00CF79FF" w:rsidRDefault="00AB252A">
            <w:pPr>
              <w:pStyle w:val="1"/>
              <w:spacing w:line="360" w:lineRule="exact"/>
              <w:ind w:left="420" w:firstLineChars="0" w:firstLine="0"/>
              <w:rPr>
                <w:rFonts w:ascii="仿宋" w:eastAsia="仿宋" w:hAnsi="仿宋"/>
                <w:bCs/>
                <w:szCs w:val="21"/>
              </w:rPr>
            </w:pPr>
            <w:r>
              <w:rPr>
                <w:rFonts w:ascii="仿宋" w:eastAsia="仿宋" w:hAnsi="仿宋" w:hint="eastAsia"/>
                <w:bCs/>
                <w:szCs w:val="21"/>
              </w:rPr>
              <w:t>每日产品运营管理费=前一自然日产</w:t>
            </w:r>
            <w:proofErr w:type="gramStart"/>
            <w:r>
              <w:rPr>
                <w:rFonts w:ascii="仿宋" w:eastAsia="仿宋" w:hAnsi="仿宋" w:hint="eastAsia"/>
                <w:bCs/>
                <w:szCs w:val="21"/>
              </w:rPr>
              <w:t>品资产</w:t>
            </w:r>
            <w:proofErr w:type="gramEnd"/>
            <w:r>
              <w:rPr>
                <w:rFonts w:ascii="仿宋" w:eastAsia="仿宋" w:hAnsi="仿宋" w:hint="eastAsia"/>
                <w:bCs/>
                <w:szCs w:val="21"/>
              </w:rPr>
              <w:t>净值×0.000%/365，按自然日计提。</w:t>
            </w:r>
          </w:p>
          <w:p w:rsidR="00CF79FF" w:rsidRDefault="00AB252A">
            <w:pPr>
              <w:pStyle w:val="1"/>
              <w:spacing w:line="360" w:lineRule="exact"/>
              <w:ind w:firstLineChars="0" w:firstLine="0"/>
              <w:rPr>
                <w:rFonts w:ascii="仿宋" w:eastAsia="仿宋" w:hAnsi="仿宋"/>
                <w:bCs/>
                <w:szCs w:val="21"/>
              </w:rPr>
            </w:pPr>
            <w:r>
              <w:rPr>
                <w:rFonts w:ascii="仿宋" w:eastAsia="仿宋" w:hAnsi="仿宋"/>
                <w:b/>
                <w:bCs/>
                <w:color w:val="000000"/>
                <w:szCs w:val="21"/>
              </w:rPr>
              <w:t>2</w:t>
            </w:r>
            <w:r>
              <w:rPr>
                <w:rFonts w:ascii="仿宋" w:eastAsia="仿宋" w:hAnsi="仿宋" w:hint="eastAsia"/>
                <w:b/>
                <w:bCs/>
                <w:color w:val="000000"/>
                <w:szCs w:val="21"/>
              </w:rPr>
              <w:t>.超额业绩报酬：</w:t>
            </w:r>
            <w:r>
              <w:rPr>
                <w:rFonts w:ascii="仿宋" w:eastAsia="仿宋" w:hAnsi="仿宋" w:hint="eastAsia"/>
                <w:b/>
                <w:bCs/>
                <w:szCs w:val="21"/>
              </w:rPr>
              <w:t>理财产品收益扣除期间费用后</w:t>
            </w:r>
            <w:r>
              <w:rPr>
                <w:rFonts w:ascii="仿宋" w:eastAsia="仿宋" w:hAnsi="仿宋"/>
                <w:b/>
                <w:bCs/>
                <w:szCs w:val="21"/>
              </w:rPr>
              <w:t>,</w:t>
            </w:r>
            <w:proofErr w:type="gramStart"/>
            <w:r>
              <w:rPr>
                <w:rFonts w:ascii="仿宋" w:eastAsia="仿宋" w:hAnsi="仿宋"/>
                <w:b/>
                <w:bCs/>
                <w:szCs w:val="21"/>
              </w:rPr>
              <w:t>如</w:t>
            </w:r>
            <w:r>
              <w:rPr>
                <w:rFonts w:ascii="仿宋" w:eastAsia="仿宋" w:hAnsi="仿宋" w:hint="eastAsia"/>
                <w:b/>
                <w:bCs/>
                <w:szCs w:val="21"/>
              </w:rPr>
              <w:t>年化收益率</w:t>
            </w:r>
            <w:proofErr w:type="gramEnd"/>
            <w:r>
              <w:rPr>
                <w:rFonts w:ascii="仿宋" w:eastAsia="仿宋" w:hAnsi="仿宋"/>
                <w:b/>
                <w:bCs/>
                <w:szCs w:val="21"/>
              </w:rPr>
              <w:t>未达到6%,产品管理人不收取</w:t>
            </w:r>
            <w:r>
              <w:rPr>
                <w:rFonts w:ascii="仿宋" w:eastAsia="仿宋" w:hAnsi="仿宋" w:hint="eastAsia"/>
                <w:b/>
                <w:bCs/>
                <w:szCs w:val="21"/>
              </w:rPr>
              <w:t>超额业绩管理费</w:t>
            </w:r>
            <w:r>
              <w:rPr>
                <w:rFonts w:ascii="仿宋" w:eastAsia="仿宋" w:hAnsi="仿宋"/>
                <w:b/>
                <w:bCs/>
                <w:szCs w:val="21"/>
              </w:rPr>
              <w:t>;</w:t>
            </w:r>
            <w:proofErr w:type="gramStart"/>
            <w:r>
              <w:rPr>
                <w:rFonts w:ascii="仿宋" w:eastAsia="仿宋" w:hAnsi="仿宋" w:hint="eastAsia"/>
                <w:b/>
                <w:bCs/>
                <w:szCs w:val="21"/>
              </w:rPr>
              <w:t>如年化收益率</w:t>
            </w:r>
            <w:proofErr w:type="gramEnd"/>
            <w:r>
              <w:rPr>
                <w:rFonts w:ascii="仿宋" w:eastAsia="仿宋" w:hAnsi="仿宋" w:hint="eastAsia"/>
                <w:b/>
                <w:bCs/>
                <w:szCs w:val="21"/>
              </w:rPr>
              <w:t>超过</w:t>
            </w:r>
            <w:r>
              <w:rPr>
                <w:rFonts w:ascii="仿宋" w:eastAsia="仿宋" w:hAnsi="仿宋"/>
                <w:b/>
                <w:bCs/>
                <w:szCs w:val="21"/>
              </w:rPr>
              <w:t>6%</w:t>
            </w:r>
            <w:r>
              <w:rPr>
                <w:rFonts w:ascii="仿宋" w:eastAsia="仿宋" w:hAnsi="仿宋" w:hint="eastAsia"/>
                <w:b/>
                <w:bCs/>
                <w:szCs w:val="21"/>
              </w:rPr>
              <w:t>,超出的部分80%</w:t>
            </w:r>
            <w:proofErr w:type="gramStart"/>
            <w:r>
              <w:rPr>
                <w:rFonts w:ascii="仿宋" w:eastAsia="仿宋" w:hAnsi="仿宋" w:hint="eastAsia"/>
                <w:b/>
                <w:bCs/>
                <w:szCs w:val="21"/>
              </w:rPr>
              <w:t>归客户</w:t>
            </w:r>
            <w:proofErr w:type="gramEnd"/>
            <w:r>
              <w:rPr>
                <w:rFonts w:ascii="仿宋" w:eastAsia="仿宋" w:hAnsi="仿宋" w:hint="eastAsia"/>
                <w:b/>
                <w:bCs/>
                <w:szCs w:val="21"/>
              </w:rPr>
              <w:t>所有，剩余20</w:t>
            </w:r>
            <w:r>
              <w:rPr>
                <w:rFonts w:ascii="仿宋" w:eastAsia="仿宋" w:hAnsi="仿宋"/>
                <w:b/>
                <w:bCs/>
                <w:szCs w:val="21"/>
              </w:rPr>
              <w:t>%作为产品管理人超额业绩管理费收取。天津银行有权根据市场情况调整超额业绩分配方案并及时公告。</w:t>
            </w:r>
            <w:r>
              <w:rPr>
                <w:rFonts w:ascii="仿宋" w:eastAsia="仿宋" w:hAnsi="仿宋"/>
                <w:bCs/>
                <w:color w:val="000000"/>
                <w:szCs w:val="21"/>
              </w:rPr>
              <w:t>3</w:t>
            </w:r>
            <w:r>
              <w:rPr>
                <w:rFonts w:ascii="仿宋" w:eastAsia="仿宋" w:hAnsi="仿宋" w:hint="eastAsia"/>
                <w:bCs/>
                <w:color w:val="000000"/>
                <w:szCs w:val="21"/>
              </w:rPr>
              <w:t>.天津银行</w:t>
            </w:r>
            <w:r>
              <w:rPr>
                <w:rFonts w:ascii="仿宋" w:eastAsia="仿宋" w:hAnsi="仿宋"/>
                <w:bCs/>
                <w:color w:val="000000"/>
                <w:szCs w:val="21"/>
              </w:rPr>
              <w:t>暂不负责代扣代缴客户购买本产品所得收益应缴纳的各项税款</w:t>
            </w:r>
            <w:r>
              <w:rPr>
                <w:rFonts w:ascii="仿宋" w:eastAsia="仿宋" w:hAnsi="仿宋" w:hint="eastAsia"/>
                <w:bCs/>
                <w:szCs w:val="21"/>
              </w:rPr>
              <w:t>。</w:t>
            </w:r>
            <w:proofErr w:type="gramStart"/>
            <w:r>
              <w:rPr>
                <w:rFonts w:ascii="仿宋" w:eastAsia="仿宋" w:hAnsi="仿宋" w:hint="eastAsia"/>
                <w:bCs/>
                <w:szCs w:val="21"/>
              </w:rPr>
              <w:t>若</w:t>
            </w:r>
            <w:r>
              <w:rPr>
                <w:rFonts w:ascii="仿宋" w:eastAsia="仿宋" w:hAnsi="仿宋"/>
                <w:bCs/>
                <w:szCs w:val="21"/>
              </w:rPr>
              <w:t>相关</w:t>
            </w:r>
            <w:proofErr w:type="gramEnd"/>
            <w:r>
              <w:rPr>
                <w:rFonts w:ascii="仿宋" w:eastAsia="仿宋" w:hAnsi="仿宋"/>
                <w:bCs/>
                <w:szCs w:val="21"/>
              </w:rPr>
              <w:t>法律法规、税收政策规定产品管理人应代扣代缴相关税款，天津</w:t>
            </w:r>
            <w:r>
              <w:rPr>
                <w:rFonts w:ascii="仿宋" w:eastAsia="仿宋" w:hAnsi="仿宋" w:hint="eastAsia"/>
                <w:bCs/>
                <w:szCs w:val="21"/>
              </w:rPr>
              <w:t>银行</w:t>
            </w:r>
            <w:r>
              <w:rPr>
                <w:rFonts w:ascii="仿宋" w:eastAsia="仿宋" w:hAnsi="仿宋"/>
                <w:bCs/>
                <w:szCs w:val="21"/>
              </w:rPr>
              <w:t>有权依法履行</w:t>
            </w:r>
            <w:r>
              <w:rPr>
                <w:rFonts w:ascii="仿宋" w:eastAsia="仿宋" w:hAnsi="仿宋" w:hint="eastAsia"/>
                <w:bCs/>
                <w:szCs w:val="21"/>
              </w:rPr>
              <w:t>代扣代缴</w:t>
            </w:r>
            <w:r>
              <w:rPr>
                <w:rFonts w:ascii="仿宋" w:eastAsia="仿宋" w:hAnsi="仿宋"/>
                <w:bCs/>
                <w:szCs w:val="21"/>
              </w:rPr>
              <w:t>义务。</w:t>
            </w:r>
          </w:p>
          <w:p w:rsidR="00CF79FF" w:rsidRDefault="00AB252A">
            <w:pPr>
              <w:pStyle w:val="1"/>
              <w:spacing w:line="360" w:lineRule="exact"/>
              <w:ind w:firstLineChars="0" w:firstLine="0"/>
              <w:rPr>
                <w:rFonts w:ascii="仿宋" w:eastAsia="仿宋" w:hAnsi="仿宋"/>
                <w:b/>
                <w:kern w:val="0"/>
                <w:szCs w:val="21"/>
              </w:rPr>
            </w:pPr>
            <w:r>
              <w:rPr>
                <w:rFonts w:ascii="仿宋" w:eastAsia="仿宋" w:hAnsi="仿宋" w:hint="eastAsia"/>
                <w:b/>
                <w:kern w:val="0"/>
                <w:szCs w:val="21"/>
              </w:rPr>
              <w:t>4.天津银行有权根据相关法律、国家政策规定以及市场情况，依照本说明书的约定予以公告后，对本理财产品收费项目、条件、标准和方式进行调整。投资人对此无异议且同意在上述调整情况下继续持有本理财产品。若投资人不同意上述调整，可在上述调整生效前赎回所持有理财产品份额。若客户未在规定时间内提前赎回本产品，则视为对相关调整无异议且同意在调整后继续持有本理财产品。</w:t>
            </w:r>
          </w:p>
        </w:tc>
      </w:tr>
      <w:tr w:rsidR="00CF79FF">
        <w:trPr>
          <w:trHeight w:val="198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投资周期</w:t>
            </w:r>
          </w:p>
        </w:tc>
        <w:tc>
          <w:tcPr>
            <w:tcW w:w="8576" w:type="dxa"/>
            <w:gridSpan w:val="7"/>
            <w:vAlign w:val="center"/>
          </w:tcPr>
          <w:p w:rsidR="00CF79FF" w:rsidRDefault="00AB252A">
            <w:pPr>
              <w:spacing w:line="360" w:lineRule="exact"/>
              <w:rPr>
                <w:rFonts w:ascii="仿宋_GB2312" w:eastAsia="仿宋_GB2312"/>
                <w:bCs/>
                <w:szCs w:val="21"/>
              </w:rPr>
            </w:pPr>
            <w:r>
              <w:rPr>
                <w:rFonts w:ascii="仿宋_GB2312" w:eastAsia="仿宋_GB2312" w:hint="eastAsia"/>
                <w:bCs/>
                <w:szCs w:val="21"/>
              </w:rPr>
              <w:t>1．每</w:t>
            </w:r>
            <w:r>
              <w:rPr>
                <w:rFonts w:ascii="仿宋_GB2312" w:eastAsia="仿宋_GB2312"/>
                <w:bCs/>
                <w:szCs w:val="21"/>
              </w:rPr>
              <w:t>182</w:t>
            </w:r>
            <w:r>
              <w:rPr>
                <w:rFonts w:ascii="仿宋_GB2312" w:eastAsia="仿宋_GB2312" w:hint="eastAsia"/>
                <w:bCs/>
                <w:szCs w:val="21"/>
              </w:rPr>
              <w:t>天，首个投资周期为</w:t>
            </w:r>
            <w:r>
              <w:rPr>
                <w:rFonts w:ascii="仿宋_GB2312" w:eastAsia="仿宋_GB2312"/>
                <w:bCs/>
                <w:szCs w:val="21"/>
              </w:rPr>
              <w:t>2020</w:t>
            </w:r>
            <w:r>
              <w:rPr>
                <w:rFonts w:ascii="仿宋_GB2312" w:eastAsia="仿宋_GB2312" w:hint="eastAsia"/>
                <w:bCs/>
                <w:szCs w:val="21"/>
              </w:rPr>
              <w:t>年4月10日至</w:t>
            </w:r>
            <w:r>
              <w:rPr>
                <w:rFonts w:ascii="仿宋_GB2312" w:eastAsia="仿宋_GB2312"/>
                <w:bCs/>
                <w:szCs w:val="21"/>
              </w:rPr>
              <w:t>2020</w:t>
            </w:r>
            <w:r>
              <w:rPr>
                <w:rFonts w:ascii="仿宋_GB2312" w:eastAsia="仿宋_GB2312" w:hint="eastAsia"/>
                <w:bCs/>
                <w:szCs w:val="21"/>
              </w:rPr>
              <w:t>年</w:t>
            </w:r>
            <w:r>
              <w:rPr>
                <w:rFonts w:ascii="仿宋_GB2312" w:eastAsia="仿宋_GB2312"/>
                <w:bCs/>
                <w:szCs w:val="21"/>
              </w:rPr>
              <w:t>10</w:t>
            </w:r>
            <w:r>
              <w:rPr>
                <w:rFonts w:ascii="仿宋_GB2312" w:eastAsia="仿宋_GB2312" w:hint="eastAsia"/>
                <w:bCs/>
                <w:szCs w:val="21"/>
              </w:rPr>
              <w:t>月9日（算头不算尾），周期确认日为</w:t>
            </w:r>
            <w:r>
              <w:rPr>
                <w:rFonts w:ascii="仿宋_GB2312" w:eastAsia="仿宋_GB2312"/>
                <w:bCs/>
                <w:szCs w:val="21"/>
              </w:rPr>
              <w:t>2020</w:t>
            </w:r>
            <w:r>
              <w:rPr>
                <w:rFonts w:ascii="仿宋_GB2312" w:eastAsia="仿宋_GB2312" w:hint="eastAsia"/>
                <w:bCs/>
                <w:szCs w:val="21"/>
              </w:rPr>
              <w:t>年</w:t>
            </w:r>
            <w:r>
              <w:rPr>
                <w:rFonts w:ascii="仿宋_GB2312" w:eastAsia="仿宋_GB2312"/>
                <w:bCs/>
                <w:szCs w:val="21"/>
              </w:rPr>
              <w:t>10</w:t>
            </w:r>
            <w:r>
              <w:rPr>
                <w:rFonts w:ascii="仿宋_GB2312" w:eastAsia="仿宋_GB2312" w:hint="eastAsia"/>
                <w:bCs/>
                <w:szCs w:val="21"/>
              </w:rPr>
              <w:t>月</w:t>
            </w:r>
            <w:r>
              <w:rPr>
                <w:rFonts w:ascii="仿宋_GB2312" w:eastAsia="仿宋_GB2312"/>
                <w:bCs/>
                <w:szCs w:val="21"/>
              </w:rPr>
              <w:t>9</w:t>
            </w:r>
            <w:r>
              <w:rPr>
                <w:rFonts w:ascii="仿宋_GB2312" w:eastAsia="仿宋_GB2312" w:hint="eastAsia"/>
                <w:bCs/>
                <w:szCs w:val="21"/>
              </w:rPr>
              <w:t>日，依此类推（遇节假日顺延至下一工作日）。</w:t>
            </w:r>
          </w:p>
          <w:p w:rsidR="00CF79FF" w:rsidRDefault="00AB252A">
            <w:pPr>
              <w:spacing w:line="360" w:lineRule="exact"/>
              <w:rPr>
                <w:rFonts w:ascii="仿宋" w:eastAsia="仿宋" w:hAnsi="仿宋"/>
                <w:bCs/>
                <w:szCs w:val="21"/>
              </w:rPr>
            </w:pPr>
            <w:r>
              <w:rPr>
                <w:rFonts w:ascii="仿宋_GB2312" w:eastAsia="仿宋_GB2312" w:hint="eastAsia"/>
                <w:bCs/>
                <w:szCs w:val="21"/>
              </w:rPr>
              <w:t>2．上一投资周期到期日与下一投资周期起始日为同一日。</w:t>
            </w:r>
          </w:p>
        </w:tc>
      </w:tr>
      <w:tr w:rsidR="00CF79FF">
        <w:trPr>
          <w:trHeight w:val="198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开放</w:t>
            </w:r>
            <w:r>
              <w:rPr>
                <w:rFonts w:ascii="仿宋" w:eastAsia="仿宋" w:hAnsi="仿宋"/>
                <w:b/>
                <w:kern w:val="0"/>
                <w:sz w:val="24"/>
                <w:szCs w:val="24"/>
              </w:rPr>
              <w:t>申购期</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bCs/>
                <w:szCs w:val="21"/>
              </w:rPr>
              <w:t>1.如周期到期日为工作日，则开放申购期</w:t>
            </w:r>
            <w:r>
              <w:rPr>
                <w:rFonts w:ascii="仿宋" w:eastAsia="仿宋" w:hAnsi="仿宋" w:hint="eastAsia"/>
                <w:bCs/>
                <w:szCs w:val="21"/>
              </w:rPr>
              <w:t>为周期到期日之前的7</w:t>
            </w:r>
            <w:r>
              <w:rPr>
                <w:rFonts w:ascii="仿宋" w:eastAsia="仿宋" w:hAnsi="仿宋"/>
                <w:bCs/>
                <w:szCs w:val="21"/>
              </w:rPr>
              <w:t>个自然日</w:t>
            </w:r>
            <w:r>
              <w:rPr>
                <w:rFonts w:ascii="仿宋" w:eastAsia="仿宋" w:hAnsi="仿宋" w:hint="eastAsia"/>
                <w:bCs/>
                <w:szCs w:val="21"/>
              </w:rPr>
              <w:t>。</w:t>
            </w:r>
          </w:p>
          <w:p w:rsidR="00CF79FF" w:rsidRDefault="00AB252A">
            <w:pPr>
              <w:spacing w:line="360" w:lineRule="exact"/>
              <w:rPr>
                <w:rFonts w:ascii="仿宋" w:eastAsia="仿宋" w:hAnsi="仿宋"/>
                <w:bCs/>
                <w:szCs w:val="21"/>
              </w:rPr>
            </w:pPr>
            <w:r>
              <w:rPr>
                <w:rFonts w:ascii="仿宋" w:eastAsia="仿宋" w:hAnsi="仿宋" w:hint="eastAsia"/>
                <w:bCs/>
                <w:szCs w:val="21"/>
              </w:rPr>
              <w:t>即周期到期日为</w:t>
            </w:r>
            <w:r>
              <w:rPr>
                <w:rFonts w:ascii="仿宋" w:eastAsia="仿宋" w:hAnsi="仿宋"/>
                <w:bCs/>
                <w:szCs w:val="21"/>
              </w:rPr>
              <w:t>T日，该周期的开放申购起始日为T-</w:t>
            </w:r>
            <w:r>
              <w:rPr>
                <w:rFonts w:ascii="仿宋" w:eastAsia="仿宋" w:hAnsi="仿宋" w:hint="eastAsia"/>
                <w:bCs/>
                <w:szCs w:val="21"/>
              </w:rPr>
              <w:t>7</w:t>
            </w:r>
            <w:r>
              <w:rPr>
                <w:rFonts w:ascii="仿宋" w:eastAsia="仿宋" w:hAnsi="仿宋"/>
                <w:bCs/>
                <w:szCs w:val="21"/>
              </w:rPr>
              <w:t>日，开放申购截止日为T-</w:t>
            </w:r>
            <w:r>
              <w:rPr>
                <w:rFonts w:ascii="仿宋" w:eastAsia="仿宋" w:hAnsi="仿宋" w:hint="eastAsia"/>
                <w:bCs/>
                <w:szCs w:val="21"/>
              </w:rPr>
              <w:t>1</w:t>
            </w:r>
            <w:r>
              <w:rPr>
                <w:rFonts w:ascii="仿宋" w:eastAsia="仿宋" w:hAnsi="仿宋"/>
                <w:bCs/>
                <w:szCs w:val="21"/>
              </w:rPr>
              <w:t>日。</w:t>
            </w:r>
          </w:p>
          <w:p w:rsidR="00CF79FF" w:rsidRDefault="00AB252A">
            <w:pPr>
              <w:spacing w:line="360" w:lineRule="exact"/>
              <w:rPr>
                <w:rFonts w:ascii="仿宋" w:eastAsia="仿宋" w:hAnsi="仿宋"/>
                <w:bCs/>
                <w:szCs w:val="21"/>
              </w:rPr>
            </w:pPr>
            <w:r>
              <w:rPr>
                <w:rFonts w:ascii="仿宋" w:eastAsia="仿宋" w:hAnsi="仿宋"/>
                <w:bCs/>
                <w:szCs w:val="21"/>
              </w:rPr>
              <w:t>2.如周期到期</w:t>
            </w:r>
            <w:proofErr w:type="gramStart"/>
            <w:r>
              <w:rPr>
                <w:rFonts w:ascii="仿宋" w:eastAsia="仿宋" w:hAnsi="仿宋" w:hint="eastAsia"/>
                <w:bCs/>
                <w:szCs w:val="21"/>
              </w:rPr>
              <w:t>日遇非工作日</w:t>
            </w:r>
            <w:proofErr w:type="gramEnd"/>
            <w:r>
              <w:rPr>
                <w:rFonts w:ascii="仿宋" w:eastAsia="仿宋" w:hAnsi="仿宋" w:hint="eastAsia"/>
                <w:bCs/>
                <w:szCs w:val="21"/>
              </w:rPr>
              <w:t>，则该周期开放申购期截止日顺延至非工作日的最后一天。</w:t>
            </w:r>
          </w:p>
        </w:tc>
      </w:tr>
      <w:tr w:rsidR="00CF79FF">
        <w:trPr>
          <w:trHeight w:val="1528"/>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赎回开放期</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bCs/>
                <w:szCs w:val="21"/>
              </w:rPr>
              <w:t>1.如周期到期日为工作日</w:t>
            </w:r>
            <w:r>
              <w:rPr>
                <w:rFonts w:ascii="仿宋" w:eastAsia="仿宋" w:hAnsi="仿宋" w:hint="eastAsia"/>
                <w:bCs/>
                <w:szCs w:val="21"/>
              </w:rPr>
              <w:t>，</w:t>
            </w:r>
            <w:r>
              <w:rPr>
                <w:rFonts w:ascii="仿宋" w:eastAsia="仿宋" w:hAnsi="仿宋"/>
                <w:bCs/>
                <w:szCs w:val="21"/>
              </w:rPr>
              <w:t>则</w:t>
            </w:r>
            <w:r>
              <w:rPr>
                <w:rFonts w:ascii="仿宋" w:eastAsia="仿宋" w:hAnsi="仿宋" w:hint="eastAsia"/>
                <w:bCs/>
                <w:szCs w:val="21"/>
              </w:rPr>
              <w:t>赎回开放期为周期起始日（如周期起始日为非工作日，则赎回开放期起始日顺延至下一工作日）至周期到期日的前一个自然日。</w:t>
            </w:r>
          </w:p>
          <w:p w:rsidR="00CF79FF" w:rsidRDefault="00AB252A">
            <w:pPr>
              <w:spacing w:line="360" w:lineRule="exact"/>
              <w:rPr>
                <w:rFonts w:ascii="仿宋" w:eastAsia="仿宋" w:hAnsi="仿宋"/>
                <w:bCs/>
                <w:szCs w:val="21"/>
              </w:rPr>
            </w:pPr>
            <w:r>
              <w:rPr>
                <w:rFonts w:ascii="仿宋" w:eastAsia="仿宋" w:hAnsi="仿宋"/>
                <w:bCs/>
                <w:szCs w:val="21"/>
              </w:rPr>
              <w:t>2.</w:t>
            </w:r>
            <w:r>
              <w:rPr>
                <w:rFonts w:ascii="仿宋" w:eastAsia="仿宋" w:hAnsi="仿宋" w:hint="eastAsia"/>
                <w:bCs/>
                <w:szCs w:val="21"/>
              </w:rPr>
              <w:t>如周期到期</w:t>
            </w:r>
            <w:proofErr w:type="gramStart"/>
            <w:r>
              <w:rPr>
                <w:rFonts w:ascii="仿宋" w:eastAsia="仿宋" w:hAnsi="仿宋" w:hint="eastAsia"/>
                <w:bCs/>
                <w:szCs w:val="21"/>
              </w:rPr>
              <w:t>日遇非工作日</w:t>
            </w:r>
            <w:proofErr w:type="gramEnd"/>
            <w:r>
              <w:rPr>
                <w:rFonts w:ascii="仿宋" w:eastAsia="仿宋" w:hAnsi="仿宋" w:hint="eastAsia"/>
                <w:bCs/>
                <w:szCs w:val="21"/>
              </w:rPr>
              <w:t>，则该周期赎回开放期截止日顺延至非工作日的最后一天。</w:t>
            </w:r>
          </w:p>
        </w:tc>
      </w:tr>
      <w:tr w:rsidR="00CF79FF">
        <w:trPr>
          <w:trHeight w:val="198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申购</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1.申购指在本理财产品成立后，客户在产品开放申购</w:t>
            </w:r>
            <w:proofErr w:type="gramStart"/>
            <w:r>
              <w:rPr>
                <w:rFonts w:ascii="仿宋" w:eastAsia="仿宋" w:hAnsi="仿宋" w:hint="eastAsia"/>
                <w:bCs/>
                <w:szCs w:val="21"/>
              </w:rPr>
              <w:t>期申请</w:t>
            </w:r>
            <w:proofErr w:type="gramEnd"/>
            <w:r>
              <w:rPr>
                <w:rFonts w:ascii="仿宋" w:eastAsia="仿宋" w:hAnsi="仿宋" w:hint="eastAsia"/>
                <w:bCs/>
                <w:szCs w:val="21"/>
              </w:rPr>
              <w:t>购买理财产品的行为。在该开放申购期对应的周期确认日申购申请生效，客户的理财资金进入理财产品运作。</w:t>
            </w:r>
          </w:p>
          <w:p w:rsidR="00CF79FF" w:rsidRDefault="00AB252A">
            <w:pPr>
              <w:spacing w:line="360" w:lineRule="exact"/>
              <w:rPr>
                <w:rFonts w:ascii="仿宋" w:eastAsia="仿宋" w:hAnsi="仿宋"/>
                <w:bCs/>
                <w:szCs w:val="21"/>
              </w:rPr>
            </w:pPr>
            <w:r>
              <w:rPr>
                <w:rFonts w:ascii="仿宋" w:eastAsia="仿宋" w:hAnsi="仿宋" w:hint="eastAsia"/>
                <w:bCs/>
                <w:szCs w:val="21"/>
              </w:rPr>
              <w:t>2.申购资金在开放申购期内将被冻结，按照活期存款利率计息，但在此期间所产生的利息不作为理财本金进入理财运作，不计算理财收益。</w:t>
            </w:r>
          </w:p>
          <w:p w:rsidR="00CF79FF" w:rsidRDefault="00AB252A">
            <w:pPr>
              <w:spacing w:line="360" w:lineRule="exact"/>
              <w:rPr>
                <w:rFonts w:ascii="仿宋" w:eastAsia="仿宋" w:hAnsi="仿宋"/>
                <w:bCs/>
                <w:szCs w:val="21"/>
              </w:rPr>
            </w:pPr>
            <w:r>
              <w:rPr>
                <w:rFonts w:ascii="仿宋" w:eastAsia="仿宋" w:hAnsi="仿宋" w:hint="eastAsia"/>
                <w:bCs/>
                <w:szCs w:val="21"/>
              </w:rPr>
              <w:t>3.申购</w:t>
            </w:r>
            <w:r>
              <w:rPr>
                <w:rFonts w:ascii="仿宋" w:eastAsia="仿宋" w:hAnsi="仿宋"/>
                <w:bCs/>
                <w:szCs w:val="21"/>
              </w:rPr>
              <w:t>截止时间:开放</w:t>
            </w:r>
            <w:r>
              <w:rPr>
                <w:rFonts w:ascii="仿宋" w:eastAsia="仿宋" w:hAnsi="仿宋" w:hint="eastAsia"/>
                <w:bCs/>
                <w:szCs w:val="21"/>
              </w:rPr>
              <w:t>申购</w:t>
            </w:r>
            <w:r>
              <w:rPr>
                <w:rFonts w:ascii="仿宋" w:eastAsia="仿宋" w:hAnsi="仿宋"/>
                <w:bCs/>
                <w:szCs w:val="21"/>
              </w:rPr>
              <w:t>期最后一天闭市前,闭市时间为</w:t>
            </w:r>
            <w:r>
              <w:rPr>
                <w:rFonts w:ascii="仿宋" w:eastAsia="仿宋" w:hAnsi="仿宋" w:hint="eastAsia"/>
                <w:bCs/>
                <w:szCs w:val="21"/>
              </w:rPr>
              <w:t>17：00。</w:t>
            </w:r>
          </w:p>
        </w:tc>
      </w:tr>
      <w:tr w:rsidR="00CF79FF">
        <w:trPr>
          <w:trHeight w:val="2974"/>
        </w:trPr>
        <w:tc>
          <w:tcPr>
            <w:tcW w:w="1909" w:type="dxa"/>
            <w:vAlign w:val="center"/>
          </w:tcPr>
          <w:p w:rsidR="00CF79FF" w:rsidRDefault="00AB252A">
            <w:pPr>
              <w:jc w:val="center"/>
              <w:rPr>
                <w:rFonts w:ascii="仿宋" w:eastAsia="仿宋" w:hAnsi="仿宋"/>
                <w:b/>
                <w:kern w:val="0"/>
                <w:sz w:val="24"/>
                <w:szCs w:val="24"/>
                <w:u w:val="wave"/>
              </w:rPr>
            </w:pPr>
            <w:r>
              <w:rPr>
                <w:rFonts w:ascii="仿宋" w:eastAsia="仿宋" w:hAnsi="仿宋" w:hint="eastAsia"/>
                <w:b/>
                <w:kern w:val="0"/>
                <w:sz w:val="24"/>
                <w:szCs w:val="24"/>
              </w:rPr>
              <w:t>赎回</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1.</w:t>
            </w:r>
            <w:proofErr w:type="gramStart"/>
            <w:r>
              <w:rPr>
                <w:rFonts w:ascii="仿宋" w:eastAsia="仿宋" w:hAnsi="仿宋" w:hint="eastAsia"/>
                <w:bCs/>
                <w:szCs w:val="21"/>
              </w:rPr>
              <w:t>赎回指</w:t>
            </w:r>
            <w:proofErr w:type="gramEnd"/>
            <w:r>
              <w:rPr>
                <w:rFonts w:ascii="仿宋" w:eastAsia="仿宋" w:hAnsi="仿宋" w:hint="eastAsia"/>
                <w:bCs/>
                <w:szCs w:val="21"/>
              </w:rPr>
              <w:t>客户在产品赎回开放</w:t>
            </w:r>
            <w:proofErr w:type="gramStart"/>
            <w:r>
              <w:rPr>
                <w:rFonts w:ascii="仿宋" w:eastAsia="仿宋" w:hAnsi="仿宋" w:hint="eastAsia"/>
                <w:bCs/>
                <w:szCs w:val="21"/>
              </w:rPr>
              <w:t>期申请</w:t>
            </w:r>
            <w:proofErr w:type="gramEnd"/>
            <w:r>
              <w:rPr>
                <w:rFonts w:ascii="仿宋" w:eastAsia="仿宋" w:hAnsi="仿宋" w:hint="eastAsia"/>
                <w:bCs/>
                <w:szCs w:val="21"/>
              </w:rPr>
              <w:t>赎回理财产品的</w:t>
            </w:r>
            <w:r>
              <w:rPr>
                <w:rFonts w:ascii="仿宋" w:eastAsia="仿宋" w:hAnsi="仿宋"/>
                <w:bCs/>
                <w:szCs w:val="21"/>
              </w:rPr>
              <w:t>行为</w:t>
            </w:r>
            <w:r>
              <w:rPr>
                <w:rFonts w:ascii="仿宋" w:eastAsia="仿宋" w:hAnsi="仿宋" w:hint="eastAsia"/>
                <w:bCs/>
                <w:szCs w:val="21"/>
              </w:rPr>
              <w:t>。在赎回开放期提交赎回申请，</w:t>
            </w:r>
          </w:p>
          <w:p w:rsidR="00CF79FF" w:rsidRDefault="00AB252A">
            <w:pPr>
              <w:spacing w:line="360" w:lineRule="exact"/>
              <w:rPr>
                <w:rFonts w:ascii="仿宋" w:eastAsia="仿宋" w:hAnsi="仿宋"/>
                <w:bCs/>
                <w:szCs w:val="21"/>
              </w:rPr>
            </w:pPr>
            <w:r>
              <w:rPr>
                <w:rFonts w:ascii="仿宋" w:eastAsia="仿宋" w:hAnsi="仿宋" w:hint="eastAsia"/>
                <w:bCs/>
                <w:szCs w:val="21"/>
              </w:rPr>
              <w:t>非巨额赎回情况下，在该投资周期的周期确认日予以确认，</w:t>
            </w:r>
            <w:r w:rsidR="000A5390">
              <w:rPr>
                <w:rFonts w:ascii="仿宋" w:eastAsia="仿宋" w:hAnsi="仿宋" w:hint="eastAsia"/>
                <w:bCs/>
                <w:szCs w:val="21"/>
              </w:rPr>
              <w:t>并在</w:t>
            </w:r>
            <w:r w:rsidR="0037414F">
              <w:rPr>
                <w:rFonts w:ascii="仿宋" w:eastAsia="仿宋" w:hAnsi="仿宋" w:hint="eastAsia"/>
                <w:bCs/>
                <w:szCs w:val="21"/>
              </w:rPr>
              <w:t>清算期</w:t>
            </w:r>
            <w:r w:rsidR="000A5390">
              <w:rPr>
                <w:rFonts w:ascii="仿宋" w:eastAsia="仿宋" w:hAnsi="仿宋"/>
                <w:bCs/>
                <w:szCs w:val="21"/>
              </w:rPr>
              <w:t>内</w:t>
            </w:r>
            <w:r>
              <w:rPr>
                <w:rFonts w:ascii="仿宋" w:eastAsia="仿宋" w:hAnsi="仿宋" w:hint="eastAsia"/>
                <w:bCs/>
                <w:szCs w:val="21"/>
              </w:rPr>
              <w:t>将赎回资金兑付</w:t>
            </w:r>
            <w:proofErr w:type="gramStart"/>
            <w:r>
              <w:rPr>
                <w:rFonts w:ascii="仿宋" w:eastAsia="仿宋" w:hAnsi="仿宋" w:hint="eastAsia"/>
                <w:bCs/>
                <w:szCs w:val="21"/>
              </w:rPr>
              <w:t>至客户</w:t>
            </w:r>
            <w:proofErr w:type="gramEnd"/>
            <w:r>
              <w:rPr>
                <w:rFonts w:ascii="仿宋" w:eastAsia="仿宋" w:hAnsi="仿宋" w:hint="eastAsia"/>
                <w:bCs/>
                <w:szCs w:val="21"/>
              </w:rPr>
              <w:t>账户。赎回份额按照1000份的整数</w:t>
            </w:r>
            <w:proofErr w:type="gramStart"/>
            <w:r>
              <w:rPr>
                <w:rFonts w:ascii="仿宋" w:eastAsia="仿宋" w:hAnsi="仿宋" w:hint="eastAsia"/>
                <w:bCs/>
                <w:szCs w:val="21"/>
              </w:rPr>
              <w:t>倍</w:t>
            </w:r>
            <w:proofErr w:type="gramEnd"/>
            <w:r>
              <w:rPr>
                <w:rFonts w:ascii="仿宋" w:eastAsia="仿宋" w:hAnsi="仿宋" w:hint="eastAsia"/>
                <w:bCs/>
                <w:szCs w:val="21"/>
              </w:rPr>
              <w:t>递增。</w:t>
            </w:r>
          </w:p>
          <w:p w:rsidR="00CF79FF" w:rsidRDefault="00AB252A">
            <w:pPr>
              <w:spacing w:line="360" w:lineRule="exact"/>
              <w:rPr>
                <w:rFonts w:ascii="仿宋" w:eastAsia="仿宋" w:hAnsi="仿宋"/>
                <w:b/>
                <w:bCs/>
                <w:szCs w:val="21"/>
              </w:rPr>
            </w:pPr>
            <w:r>
              <w:rPr>
                <w:rFonts w:ascii="仿宋" w:eastAsia="仿宋" w:hAnsi="仿宋" w:hint="eastAsia"/>
                <w:b/>
                <w:bCs/>
                <w:szCs w:val="21"/>
              </w:rPr>
              <w:t>2.周期确认日</w:t>
            </w:r>
            <w:r>
              <w:rPr>
                <w:rFonts w:ascii="仿宋" w:eastAsia="仿宋" w:hAnsi="仿宋"/>
                <w:b/>
                <w:bCs/>
                <w:szCs w:val="21"/>
              </w:rPr>
              <w:t>提交</w:t>
            </w:r>
            <w:r>
              <w:rPr>
                <w:rFonts w:ascii="仿宋" w:eastAsia="仿宋" w:hAnsi="仿宋" w:hint="eastAsia"/>
                <w:b/>
                <w:bCs/>
                <w:szCs w:val="21"/>
              </w:rPr>
              <w:t>的</w:t>
            </w:r>
            <w:r>
              <w:rPr>
                <w:rFonts w:ascii="仿宋" w:eastAsia="仿宋" w:hAnsi="仿宋"/>
                <w:b/>
                <w:bCs/>
                <w:szCs w:val="21"/>
              </w:rPr>
              <w:t>赎回申请</w:t>
            </w:r>
            <w:r>
              <w:rPr>
                <w:rFonts w:ascii="仿宋" w:eastAsia="仿宋" w:hAnsi="仿宋" w:hint="eastAsia"/>
                <w:b/>
                <w:bCs/>
                <w:szCs w:val="21"/>
              </w:rPr>
              <w:t>将于</w:t>
            </w:r>
            <w:r>
              <w:rPr>
                <w:rFonts w:ascii="仿宋" w:eastAsia="仿宋" w:hAnsi="仿宋"/>
                <w:b/>
                <w:bCs/>
                <w:szCs w:val="21"/>
              </w:rPr>
              <w:t>下一个周期确认日</w:t>
            </w:r>
            <w:r>
              <w:rPr>
                <w:rFonts w:ascii="仿宋" w:eastAsia="仿宋" w:hAnsi="仿宋" w:hint="eastAsia"/>
                <w:b/>
                <w:bCs/>
                <w:szCs w:val="21"/>
              </w:rPr>
              <w:t>确认</w:t>
            </w:r>
            <w:r>
              <w:rPr>
                <w:rFonts w:ascii="仿宋" w:eastAsia="仿宋" w:hAnsi="仿宋"/>
                <w:b/>
                <w:bCs/>
                <w:szCs w:val="21"/>
              </w:rPr>
              <w:t>。</w:t>
            </w:r>
          </w:p>
          <w:p w:rsidR="00CF79FF" w:rsidRDefault="00AB252A">
            <w:pPr>
              <w:spacing w:line="360" w:lineRule="exact"/>
              <w:rPr>
                <w:rFonts w:ascii="仿宋" w:eastAsia="仿宋" w:hAnsi="仿宋"/>
                <w:bCs/>
                <w:szCs w:val="21"/>
              </w:rPr>
            </w:pPr>
            <w:r>
              <w:rPr>
                <w:rFonts w:ascii="仿宋" w:eastAsia="仿宋" w:hAnsi="仿宋"/>
                <w:bCs/>
                <w:szCs w:val="21"/>
              </w:rPr>
              <w:t>3</w:t>
            </w:r>
            <w:r>
              <w:rPr>
                <w:rFonts w:ascii="仿宋" w:eastAsia="仿宋" w:hAnsi="仿宋" w:hint="eastAsia"/>
                <w:bCs/>
                <w:szCs w:val="21"/>
              </w:rPr>
              <w:t>．本理财产品成立以后，在产品到期日之前，客户通过赎回开放期赎回的方式退出本理财产品运作。客户可选择全额赎回，也可选择部分赎回，但部分赎回后客户持有本理财产品的余额不得低于10万份。未赎回的理财本金将自动进入下一个投资周期运作。</w:t>
            </w:r>
          </w:p>
          <w:p w:rsidR="00CF79FF" w:rsidRDefault="00AB252A">
            <w:pPr>
              <w:spacing w:line="360" w:lineRule="exact"/>
              <w:rPr>
                <w:rFonts w:ascii="仿宋" w:eastAsia="仿宋" w:hAnsi="仿宋"/>
                <w:bCs/>
                <w:szCs w:val="21"/>
              </w:rPr>
            </w:pPr>
            <w:r>
              <w:rPr>
                <w:rFonts w:ascii="仿宋" w:eastAsia="仿宋" w:hAnsi="仿宋"/>
                <w:bCs/>
                <w:szCs w:val="21"/>
              </w:rPr>
              <w:t>4</w:t>
            </w:r>
            <w:r>
              <w:rPr>
                <w:rFonts w:ascii="仿宋" w:eastAsia="仿宋" w:hAnsi="仿宋" w:hint="eastAsia"/>
                <w:bCs/>
                <w:szCs w:val="21"/>
              </w:rPr>
              <w:t>.客户只能对已进入理财运作的本金申请赎回，如该笔资金仅申请申购但尚未确认成功，客户不能提交赎回申请。</w:t>
            </w:r>
          </w:p>
          <w:p w:rsidR="00CF79FF" w:rsidRDefault="00AB252A">
            <w:pPr>
              <w:spacing w:line="360" w:lineRule="exact"/>
              <w:rPr>
                <w:rFonts w:ascii="仿宋" w:eastAsia="仿宋" w:hAnsi="仿宋"/>
                <w:bCs/>
                <w:szCs w:val="21"/>
              </w:rPr>
            </w:pPr>
            <w:r>
              <w:rPr>
                <w:rFonts w:ascii="仿宋" w:eastAsia="仿宋" w:hAnsi="仿宋"/>
                <w:bCs/>
                <w:szCs w:val="21"/>
              </w:rPr>
              <w:t>5</w:t>
            </w:r>
            <w:r>
              <w:rPr>
                <w:rFonts w:ascii="仿宋" w:eastAsia="仿宋" w:hAnsi="仿宋" w:hint="eastAsia"/>
                <w:bCs/>
                <w:szCs w:val="21"/>
              </w:rPr>
              <w:t>.赎回</w:t>
            </w:r>
            <w:r>
              <w:rPr>
                <w:rFonts w:ascii="仿宋" w:eastAsia="仿宋" w:hAnsi="仿宋"/>
                <w:bCs/>
                <w:szCs w:val="21"/>
              </w:rPr>
              <w:t>截止时间:赎回开放期</w:t>
            </w:r>
            <w:r>
              <w:rPr>
                <w:rFonts w:ascii="仿宋" w:eastAsia="仿宋" w:hAnsi="仿宋" w:hint="eastAsia"/>
                <w:bCs/>
                <w:szCs w:val="21"/>
              </w:rPr>
              <w:t>最后</w:t>
            </w:r>
            <w:r>
              <w:rPr>
                <w:rFonts w:ascii="仿宋" w:eastAsia="仿宋" w:hAnsi="仿宋"/>
                <w:bCs/>
                <w:szCs w:val="21"/>
              </w:rPr>
              <w:t>一天闭市前,闭市时间为</w:t>
            </w:r>
            <w:r>
              <w:rPr>
                <w:rFonts w:ascii="仿宋" w:eastAsia="仿宋" w:hAnsi="仿宋" w:hint="eastAsia"/>
                <w:bCs/>
                <w:szCs w:val="21"/>
              </w:rPr>
              <w:t>17：00。</w:t>
            </w:r>
          </w:p>
        </w:tc>
      </w:tr>
      <w:tr w:rsidR="00CF79FF">
        <w:trPr>
          <w:trHeight w:val="4119"/>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周期确认日</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1.周期确认日为客户提交申购、赎回申请后，天津银行在该周期进行确认的日期(遇节假日顺延至下一工作日)。</w:t>
            </w:r>
          </w:p>
          <w:p w:rsidR="00CF79FF" w:rsidRDefault="00AB252A">
            <w:pPr>
              <w:spacing w:line="360" w:lineRule="exact"/>
              <w:rPr>
                <w:rFonts w:ascii="仿宋" w:eastAsia="仿宋" w:hAnsi="仿宋"/>
                <w:bCs/>
                <w:szCs w:val="21"/>
              </w:rPr>
            </w:pPr>
            <w:r>
              <w:rPr>
                <w:rFonts w:ascii="仿宋" w:eastAsia="仿宋" w:hAnsi="仿宋" w:hint="eastAsia"/>
                <w:bCs/>
                <w:szCs w:val="21"/>
              </w:rPr>
              <w:t>2.周期确认</w:t>
            </w:r>
            <w:proofErr w:type="gramStart"/>
            <w:r>
              <w:rPr>
                <w:rFonts w:ascii="仿宋" w:eastAsia="仿宋" w:hAnsi="仿宋" w:hint="eastAsia"/>
                <w:bCs/>
                <w:szCs w:val="21"/>
              </w:rPr>
              <w:t>日主要进行申赎</w:t>
            </w:r>
            <w:proofErr w:type="gramEnd"/>
            <w:r>
              <w:rPr>
                <w:rFonts w:ascii="仿宋" w:eastAsia="仿宋" w:hAnsi="仿宋" w:hint="eastAsia"/>
                <w:bCs/>
                <w:szCs w:val="21"/>
              </w:rPr>
              <w:t>份额的确认及分红处理。</w:t>
            </w:r>
          </w:p>
          <w:p w:rsidR="00CF79FF" w:rsidRDefault="00AB252A">
            <w:pPr>
              <w:spacing w:line="360" w:lineRule="exact"/>
              <w:rPr>
                <w:rFonts w:ascii="仿宋" w:eastAsia="仿宋" w:hAnsi="仿宋"/>
                <w:bCs/>
                <w:szCs w:val="21"/>
              </w:rPr>
            </w:pPr>
            <w:r>
              <w:rPr>
                <w:rFonts w:ascii="仿宋" w:eastAsia="仿宋" w:hAnsi="仿宋" w:hint="eastAsia"/>
                <w:bCs/>
                <w:szCs w:val="21"/>
              </w:rPr>
              <w:t>3.产品管理人在周期确认日（T日）收到托管行报送的T-1日估值表后，将分红金额录入理财销售系统，理财销售系统根据每个投资者的份额进行分红处理，投资经理按照分红数据、申购份额与赎回份额确认的结果进行资金运作，以满足相应周期客户的</w:t>
            </w:r>
            <w:proofErr w:type="gramStart"/>
            <w:r>
              <w:rPr>
                <w:rFonts w:ascii="仿宋" w:eastAsia="仿宋" w:hAnsi="仿宋" w:hint="eastAsia"/>
                <w:bCs/>
                <w:szCs w:val="21"/>
              </w:rPr>
              <w:t>申赎需求</w:t>
            </w:r>
            <w:proofErr w:type="gramEnd"/>
            <w:r>
              <w:rPr>
                <w:rFonts w:ascii="仿宋" w:eastAsia="仿宋" w:hAnsi="仿宋" w:hint="eastAsia"/>
                <w:bCs/>
                <w:szCs w:val="21"/>
              </w:rPr>
              <w:t>及收益分配。产品分红后，产品单位净值相应回落，但不得低于“1”。</w:t>
            </w:r>
          </w:p>
          <w:p w:rsidR="00CF79FF" w:rsidRDefault="00AB252A">
            <w:pPr>
              <w:spacing w:line="360" w:lineRule="exact"/>
              <w:rPr>
                <w:rFonts w:ascii="仿宋" w:eastAsia="仿宋" w:hAnsi="仿宋"/>
                <w:bCs/>
                <w:szCs w:val="21"/>
              </w:rPr>
            </w:pPr>
            <w:r>
              <w:rPr>
                <w:rFonts w:ascii="仿宋" w:eastAsia="仿宋" w:hAnsi="仿宋" w:hint="eastAsia"/>
                <w:bCs/>
                <w:szCs w:val="21"/>
              </w:rPr>
              <w:t>4.投资者在</w:t>
            </w:r>
            <w:r>
              <w:rPr>
                <w:rFonts w:ascii="仿宋_GB2312" w:eastAsia="仿宋_GB2312" w:hint="eastAsia"/>
                <w:bCs/>
                <w:szCs w:val="21"/>
              </w:rPr>
              <w:t>产品清算结束</w:t>
            </w:r>
            <w:r>
              <w:rPr>
                <w:rFonts w:ascii="仿宋_GB2312" w:eastAsia="仿宋_GB2312"/>
                <w:bCs/>
                <w:szCs w:val="21"/>
              </w:rPr>
              <w:t>后</w:t>
            </w:r>
            <w:r>
              <w:rPr>
                <w:rFonts w:ascii="仿宋_GB2312" w:eastAsia="仿宋_GB2312" w:hint="eastAsia"/>
                <w:bCs/>
                <w:szCs w:val="21"/>
              </w:rPr>
              <w:t>按照</w:t>
            </w:r>
            <w:r>
              <w:rPr>
                <w:rFonts w:ascii="仿宋_GB2312" w:eastAsia="仿宋_GB2312"/>
                <w:bCs/>
                <w:szCs w:val="21"/>
              </w:rPr>
              <w:t>实际运作情况</w:t>
            </w:r>
            <w:r>
              <w:rPr>
                <w:rFonts w:ascii="仿宋" w:eastAsia="仿宋" w:hAnsi="仿宋" w:hint="eastAsia"/>
                <w:bCs/>
                <w:szCs w:val="21"/>
              </w:rPr>
              <w:t>获得赎回份额本金及分红收益（如有）。分红后本周期内产品处理过程全部结束，下一周期产品处理过程与本周期相同。</w:t>
            </w:r>
          </w:p>
          <w:p w:rsidR="00CF79FF" w:rsidRDefault="00AB252A">
            <w:pPr>
              <w:spacing w:line="360" w:lineRule="exact"/>
              <w:rPr>
                <w:rFonts w:ascii="仿宋" w:eastAsia="仿宋" w:hAnsi="仿宋"/>
                <w:bCs/>
                <w:szCs w:val="21"/>
              </w:rPr>
            </w:pPr>
            <w:r>
              <w:rPr>
                <w:rFonts w:ascii="仿宋" w:eastAsia="仿宋" w:hAnsi="仿宋" w:hint="eastAsia"/>
                <w:bCs/>
                <w:szCs w:val="21"/>
              </w:rPr>
              <w:t>5.当周期确认日为非工作日时，周期确认日</w:t>
            </w:r>
            <w:r>
              <w:rPr>
                <w:rFonts w:ascii="仿宋" w:eastAsia="仿宋" w:hAnsi="仿宋"/>
                <w:bCs/>
                <w:szCs w:val="21"/>
              </w:rPr>
              <w:t>顺延至下一工作日</w:t>
            </w:r>
            <w:r>
              <w:rPr>
                <w:rFonts w:ascii="仿宋" w:eastAsia="仿宋" w:hAnsi="仿宋" w:hint="eastAsia"/>
                <w:bCs/>
                <w:szCs w:val="21"/>
              </w:rPr>
              <w:t>。</w:t>
            </w:r>
          </w:p>
        </w:tc>
      </w:tr>
      <w:tr w:rsidR="00CF79FF">
        <w:trPr>
          <w:trHeight w:val="3051"/>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暂停申购/拒绝赎回</w:t>
            </w:r>
          </w:p>
        </w:tc>
        <w:tc>
          <w:tcPr>
            <w:tcW w:w="8576" w:type="dxa"/>
            <w:gridSpan w:val="7"/>
            <w:vAlign w:val="center"/>
          </w:tcPr>
          <w:p w:rsidR="00CF79FF" w:rsidRDefault="00AB252A">
            <w:pPr>
              <w:spacing w:line="360" w:lineRule="exact"/>
              <w:rPr>
                <w:rFonts w:ascii="仿宋" w:eastAsia="仿宋" w:hAnsi="仿宋"/>
                <w:b/>
                <w:bCs/>
                <w:szCs w:val="21"/>
              </w:rPr>
            </w:pPr>
            <w:r>
              <w:rPr>
                <w:rFonts w:ascii="仿宋" w:eastAsia="仿宋" w:hAnsi="仿宋" w:hint="eastAsia"/>
                <w:b/>
                <w:bCs/>
                <w:szCs w:val="21"/>
              </w:rPr>
              <w:t>1．暂停申购：天津银行有权无条件暂停本理财产品的全部申购请求；天津银行有权根据自身判断，拒绝任何客户的任何申购请求。</w:t>
            </w:r>
          </w:p>
          <w:p w:rsidR="00CF79FF" w:rsidRDefault="00AB252A">
            <w:pPr>
              <w:spacing w:line="360" w:lineRule="exact"/>
              <w:rPr>
                <w:rFonts w:ascii="仿宋" w:eastAsia="仿宋" w:hAnsi="仿宋"/>
                <w:bCs/>
                <w:szCs w:val="21"/>
              </w:rPr>
            </w:pPr>
            <w:r>
              <w:rPr>
                <w:rFonts w:ascii="仿宋" w:eastAsia="仿宋" w:hAnsi="仿宋" w:hint="eastAsia"/>
                <w:b/>
                <w:bCs/>
                <w:szCs w:val="21"/>
              </w:rPr>
              <w:t>2．在产品存续期内的任一</w:t>
            </w:r>
            <w:proofErr w:type="gramStart"/>
            <w:r>
              <w:rPr>
                <w:rFonts w:ascii="仿宋" w:eastAsia="仿宋" w:hAnsi="仿宋" w:hint="eastAsia"/>
                <w:b/>
                <w:bCs/>
                <w:szCs w:val="21"/>
              </w:rPr>
              <w:t>个</w:t>
            </w:r>
            <w:proofErr w:type="gramEnd"/>
            <w:r>
              <w:rPr>
                <w:rFonts w:ascii="仿宋" w:eastAsia="仿宋" w:hAnsi="仿宋" w:hint="eastAsia"/>
                <w:b/>
                <w:bCs/>
                <w:szCs w:val="21"/>
              </w:rPr>
              <w:t>投资周期，若本理财产品</w:t>
            </w:r>
            <w:proofErr w:type="gramStart"/>
            <w:r>
              <w:rPr>
                <w:rFonts w:ascii="仿宋" w:eastAsia="仿宋" w:hAnsi="仿宋" w:hint="eastAsia"/>
                <w:b/>
                <w:bCs/>
                <w:szCs w:val="21"/>
              </w:rPr>
              <w:t>累计申赎净额</w:t>
            </w:r>
            <w:proofErr w:type="gramEnd"/>
            <w:r>
              <w:rPr>
                <w:rFonts w:ascii="仿宋" w:eastAsia="仿宋" w:hAnsi="仿宋" w:hint="eastAsia"/>
                <w:b/>
                <w:bCs/>
                <w:szCs w:val="21"/>
              </w:rPr>
              <w:t>（累计赎回份额-累计申购份额）达到或超过本理财产品</w:t>
            </w:r>
            <w:proofErr w:type="gramStart"/>
            <w:r>
              <w:rPr>
                <w:rFonts w:ascii="仿宋" w:eastAsia="仿宋" w:hAnsi="仿宋" w:hint="eastAsia"/>
                <w:b/>
                <w:bCs/>
                <w:szCs w:val="21"/>
              </w:rPr>
              <w:t>存续总</w:t>
            </w:r>
            <w:proofErr w:type="gramEnd"/>
            <w:r>
              <w:rPr>
                <w:rFonts w:ascii="仿宋" w:eastAsia="仿宋" w:hAnsi="仿宋" w:hint="eastAsia"/>
                <w:b/>
                <w:bCs/>
                <w:szCs w:val="21"/>
              </w:rPr>
              <w:t>份额的10%时，即认为是发生了大额赎回，此时天津银行有权拒绝超过部分的赎回申请，并在下一赎回开放</w:t>
            </w:r>
            <w:proofErr w:type="gramStart"/>
            <w:r>
              <w:rPr>
                <w:rFonts w:ascii="仿宋" w:eastAsia="仿宋" w:hAnsi="仿宋" w:hint="eastAsia"/>
                <w:b/>
                <w:bCs/>
                <w:szCs w:val="21"/>
              </w:rPr>
              <w:t>期恢复</w:t>
            </w:r>
            <w:proofErr w:type="gramEnd"/>
            <w:r>
              <w:rPr>
                <w:rFonts w:ascii="仿宋" w:eastAsia="仿宋" w:hAnsi="仿宋" w:hint="eastAsia"/>
                <w:b/>
                <w:bCs/>
                <w:szCs w:val="21"/>
              </w:rPr>
              <w:t>正常的产品赎回。客户提出的赎回申请，可顺延至下一个赎回开放期。如此条规定需要变更，天津银行将于周期确认日当日通过其各营业网点或天津银行网站发布变更公告。</w:t>
            </w:r>
          </w:p>
        </w:tc>
      </w:tr>
      <w:tr w:rsidR="00CF79FF">
        <w:trPr>
          <w:trHeight w:val="423"/>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收益测算</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bCs/>
                <w:szCs w:val="21"/>
              </w:rPr>
              <w:t>1.</w:t>
            </w:r>
            <w:r>
              <w:rPr>
                <w:rFonts w:ascii="仿宋" w:eastAsia="仿宋" w:hAnsi="仿宋" w:hint="eastAsia"/>
                <w:bCs/>
                <w:szCs w:val="21"/>
              </w:rPr>
              <w:t>产品管理人在每个投资周期的周期确认日(遇节假日顺延至下一工作日)清算本投资周期的理财收益（如有）。</w:t>
            </w:r>
          </w:p>
          <w:p w:rsidR="00CF79FF" w:rsidRDefault="00AB252A">
            <w:pPr>
              <w:spacing w:line="360" w:lineRule="exact"/>
              <w:rPr>
                <w:rFonts w:ascii="仿宋" w:eastAsia="仿宋" w:hAnsi="仿宋"/>
                <w:bCs/>
                <w:szCs w:val="21"/>
              </w:rPr>
            </w:pPr>
            <w:r>
              <w:rPr>
                <w:rFonts w:ascii="仿宋" w:eastAsia="仿宋" w:hAnsi="仿宋"/>
                <w:bCs/>
                <w:szCs w:val="21"/>
              </w:rPr>
              <w:lastRenderedPageBreak/>
              <w:t>2.</w:t>
            </w:r>
            <w:r>
              <w:rPr>
                <w:rFonts w:ascii="仿宋" w:eastAsia="仿宋" w:hAnsi="仿宋" w:hint="eastAsia"/>
                <w:bCs/>
                <w:szCs w:val="21"/>
              </w:rPr>
              <w:t>理财资金到账时间一般情况下不晚于周期确认日后2个工作日。</w:t>
            </w:r>
          </w:p>
          <w:p w:rsidR="00CF79FF" w:rsidRDefault="00AB252A">
            <w:pPr>
              <w:spacing w:line="360" w:lineRule="exact"/>
              <w:rPr>
                <w:rFonts w:ascii="仿宋" w:eastAsia="仿宋" w:hAnsi="仿宋"/>
                <w:bCs/>
                <w:szCs w:val="21"/>
              </w:rPr>
            </w:pPr>
            <w:r>
              <w:rPr>
                <w:rFonts w:ascii="仿宋" w:eastAsia="仿宋" w:hAnsi="仿宋"/>
                <w:bCs/>
                <w:szCs w:val="21"/>
              </w:rPr>
              <w:t>3.</w:t>
            </w:r>
            <w:r>
              <w:rPr>
                <w:rFonts w:ascii="仿宋" w:eastAsia="仿宋" w:hAnsi="仿宋" w:hint="eastAsia"/>
                <w:bCs/>
                <w:szCs w:val="21"/>
              </w:rPr>
              <w:t>收益计算公式：客户理财收益=投资份额×（周期到期日或者产品到期日的产品单位净值－期</w:t>
            </w:r>
            <w:proofErr w:type="gramStart"/>
            <w:r>
              <w:rPr>
                <w:rFonts w:ascii="仿宋" w:eastAsia="仿宋" w:hAnsi="仿宋" w:hint="eastAsia"/>
                <w:bCs/>
                <w:szCs w:val="21"/>
              </w:rPr>
              <w:t>初单位</w:t>
            </w:r>
            <w:proofErr w:type="gramEnd"/>
            <w:r>
              <w:rPr>
                <w:rFonts w:ascii="仿宋" w:eastAsia="仿宋" w:hAnsi="仿宋" w:hint="eastAsia"/>
                <w:bCs/>
                <w:szCs w:val="21"/>
              </w:rPr>
              <w:t>净值）-产品管理人超额收益部分（如有）</w:t>
            </w:r>
          </w:p>
          <w:p w:rsidR="00CF79FF" w:rsidRDefault="00AB252A">
            <w:pPr>
              <w:spacing w:line="360" w:lineRule="exact"/>
              <w:rPr>
                <w:rFonts w:ascii="仿宋" w:eastAsia="仿宋" w:hAnsi="仿宋"/>
                <w:bCs/>
                <w:szCs w:val="21"/>
              </w:rPr>
            </w:pPr>
            <w:r>
              <w:rPr>
                <w:rFonts w:ascii="仿宋" w:eastAsia="仿宋" w:hAnsi="仿宋"/>
                <w:bCs/>
                <w:szCs w:val="21"/>
              </w:rPr>
              <w:t>4</w:t>
            </w:r>
            <w:r>
              <w:rPr>
                <w:rFonts w:ascii="仿宋" w:eastAsia="仿宋" w:hAnsi="仿宋" w:hint="eastAsia"/>
                <w:bCs/>
                <w:szCs w:val="21"/>
              </w:rPr>
              <w:t>.收益测算示例（测算结果精确到分位）：</w:t>
            </w:r>
          </w:p>
          <w:p w:rsidR="00CF79FF" w:rsidRDefault="00AB252A">
            <w:pPr>
              <w:spacing w:line="360" w:lineRule="exact"/>
              <w:rPr>
                <w:rFonts w:ascii="仿宋" w:eastAsia="仿宋" w:hAnsi="仿宋"/>
                <w:bCs/>
                <w:szCs w:val="21"/>
              </w:rPr>
            </w:pPr>
            <w:r>
              <w:rPr>
                <w:rFonts w:ascii="仿宋" w:eastAsia="仿宋" w:hAnsi="仿宋"/>
                <w:bCs/>
                <w:szCs w:val="21"/>
              </w:rPr>
              <w:t>1</w:t>
            </w:r>
            <w:r>
              <w:rPr>
                <w:rFonts w:ascii="仿宋" w:eastAsia="仿宋" w:hAnsi="仿宋" w:hint="eastAsia"/>
                <w:bCs/>
                <w:szCs w:val="21"/>
              </w:rPr>
              <w:t>）假定客户认购周期为182天的理财产品100000元，初始单位净值为1，客户于开放期发起申购或者赎回理财资金，周期到期确认产品净值为1.02204</w:t>
            </w:r>
            <w:r>
              <w:rPr>
                <w:rFonts w:ascii="仿宋" w:eastAsia="仿宋" w:hAnsi="仿宋"/>
                <w:bCs/>
                <w:szCs w:val="21"/>
              </w:rPr>
              <w:t>0</w:t>
            </w:r>
            <w:r>
              <w:rPr>
                <w:rFonts w:ascii="仿宋" w:eastAsia="仿宋" w:hAnsi="仿宋" w:hint="eastAsia"/>
                <w:bCs/>
                <w:szCs w:val="21"/>
              </w:rPr>
              <w:t>。</w:t>
            </w:r>
          </w:p>
          <w:p w:rsidR="00CF79FF" w:rsidRDefault="00AB252A">
            <w:pPr>
              <w:spacing w:line="360" w:lineRule="exact"/>
              <w:rPr>
                <w:rFonts w:ascii="仿宋" w:eastAsia="仿宋" w:hAnsi="仿宋"/>
                <w:bCs/>
                <w:szCs w:val="21"/>
              </w:rPr>
            </w:pPr>
            <w:r>
              <w:rPr>
                <w:rFonts w:ascii="仿宋" w:eastAsia="仿宋" w:hAnsi="仿宋" w:hint="eastAsia"/>
                <w:bCs/>
                <w:szCs w:val="21"/>
              </w:rPr>
              <w:t>客户理财收益=100000×（1.02204</w:t>
            </w:r>
            <w:r>
              <w:rPr>
                <w:rFonts w:ascii="仿宋" w:eastAsia="仿宋" w:hAnsi="仿宋"/>
                <w:bCs/>
                <w:szCs w:val="21"/>
              </w:rPr>
              <w:t>0</w:t>
            </w:r>
            <w:r>
              <w:rPr>
                <w:rFonts w:ascii="仿宋" w:eastAsia="仿宋" w:hAnsi="仿宋" w:hint="eastAsia"/>
                <w:bCs/>
                <w:szCs w:val="21"/>
              </w:rPr>
              <w:t>-1）=2204元</w:t>
            </w:r>
          </w:p>
          <w:p w:rsidR="00CF79FF" w:rsidRDefault="00AB252A">
            <w:pPr>
              <w:spacing w:line="360" w:lineRule="exact"/>
              <w:rPr>
                <w:rFonts w:ascii="仿宋" w:eastAsia="仿宋" w:hAnsi="仿宋"/>
                <w:bCs/>
                <w:szCs w:val="21"/>
              </w:rPr>
            </w:pPr>
            <w:r>
              <w:rPr>
                <w:rFonts w:ascii="仿宋" w:eastAsia="仿宋" w:hAnsi="仿宋" w:hint="eastAsia"/>
                <w:bCs/>
                <w:szCs w:val="21"/>
              </w:rPr>
              <w:t>经折算，客户</w:t>
            </w:r>
            <w:proofErr w:type="gramStart"/>
            <w:r>
              <w:rPr>
                <w:rFonts w:ascii="仿宋" w:eastAsia="仿宋" w:hAnsi="仿宋" w:hint="eastAsia"/>
                <w:bCs/>
                <w:szCs w:val="21"/>
              </w:rPr>
              <w:t>实际年化收益率</w:t>
            </w:r>
            <w:proofErr w:type="gramEnd"/>
            <w:r>
              <w:rPr>
                <w:rFonts w:ascii="仿宋" w:eastAsia="仿宋" w:hAnsi="仿宋" w:hint="eastAsia"/>
                <w:bCs/>
                <w:szCs w:val="21"/>
              </w:rPr>
              <w:t>约为4.42%，说明：</w:t>
            </w:r>
            <w:proofErr w:type="gramStart"/>
            <w:r>
              <w:rPr>
                <w:rFonts w:ascii="仿宋" w:eastAsia="仿宋" w:hAnsi="仿宋" w:hint="eastAsia"/>
                <w:bCs/>
                <w:szCs w:val="21"/>
              </w:rPr>
              <w:t>折算年化收益率</w:t>
            </w:r>
            <w:proofErr w:type="gramEnd"/>
            <w:r>
              <w:rPr>
                <w:rFonts w:ascii="仿宋" w:eastAsia="仿宋" w:hAnsi="仿宋" w:hint="eastAsia"/>
                <w:bCs/>
                <w:szCs w:val="21"/>
              </w:rPr>
              <w:t>公式为（周期到期或者产品到期单位净值-期</w:t>
            </w:r>
            <w:proofErr w:type="gramStart"/>
            <w:r>
              <w:rPr>
                <w:rFonts w:ascii="仿宋" w:eastAsia="仿宋" w:hAnsi="仿宋" w:hint="eastAsia"/>
                <w:bCs/>
                <w:szCs w:val="21"/>
              </w:rPr>
              <w:t>初单位</w:t>
            </w:r>
            <w:proofErr w:type="gramEnd"/>
            <w:r>
              <w:rPr>
                <w:rFonts w:ascii="仿宋" w:eastAsia="仿宋" w:hAnsi="仿宋" w:hint="eastAsia"/>
                <w:bCs/>
                <w:szCs w:val="21"/>
              </w:rPr>
              <w:t>净值）×365÷（周期到期或者产品到期单位净值对应日期-期</w:t>
            </w:r>
            <w:proofErr w:type="gramStart"/>
            <w:r>
              <w:rPr>
                <w:rFonts w:ascii="仿宋" w:eastAsia="仿宋" w:hAnsi="仿宋" w:hint="eastAsia"/>
                <w:bCs/>
                <w:szCs w:val="21"/>
              </w:rPr>
              <w:t>初单位</w:t>
            </w:r>
            <w:proofErr w:type="gramEnd"/>
            <w:r>
              <w:rPr>
                <w:rFonts w:ascii="仿宋" w:eastAsia="仿宋" w:hAnsi="仿宋" w:hint="eastAsia"/>
                <w:bCs/>
                <w:szCs w:val="21"/>
              </w:rPr>
              <w:t>净值对应日期），理财产品计息基础为365天。</w:t>
            </w:r>
          </w:p>
          <w:p w:rsidR="00CF79FF" w:rsidRDefault="00AB252A">
            <w:pPr>
              <w:spacing w:line="360" w:lineRule="exact"/>
              <w:rPr>
                <w:rFonts w:ascii="仿宋" w:eastAsia="仿宋" w:hAnsi="仿宋"/>
                <w:bCs/>
                <w:szCs w:val="21"/>
              </w:rPr>
            </w:pPr>
            <w:r>
              <w:rPr>
                <w:rFonts w:ascii="仿宋" w:eastAsia="仿宋" w:hAnsi="仿宋" w:hint="eastAsia"/>
                <w:bCs/>
                <w:szCs w:val="21"/>
              </w:rPr>
              <w:t>2）接上例，如周期到期确认产品净值为</w:t>
            </w:r>
            <w:r>
              <w:rPr>
                <w:rFonts w:ascii="仿宋" w:eastAsia="仿宋" w:hAnsi="仿宋"/>
                <w:bCs/>
                <w:szCs w:val="21"/>
              </w:rPr>
              <w:t>0.991218</w:t>
            </w:r>
            <w:r>
              <w:rPr>
                <w:rFonts w:ascii="仿宋" w:eastAsia="仿宋" w:hAnsi="仿宋" w:hint="eastAsia"/>
                <w:bCs/>
                <w:szCs w:val="21"/>
              </w:rPr>
              <w:t>，经折算，客户</w:t>
            </w:r>
            <w:proofErr w:type="gramStart"/>
            <w:r>
              <w:rPr>
                <w:rFonts w:ascii="仿宋" w:eastAsia="仿宋" w:hAnsi="仿宋" w:hint="eastAsia"/>
                <w:bCs/>
                <w:szCs w:val="21"/>
              </w:rPr>
              <w:t>实际年化收益率</w:t>
            </w:r>
            <w:proofErr w:type="gramEnd"/>
            <w:r>
              <w:rPr>
                <w:rFonts w:ascii="仿宋" w:eastAsia="仿宋" w:hAnsi="仿宋" w:hint="eastAsia"/>
                <w:bCs/>
                <w:szCs w:val="21"/>
              </w:rPr>
              <w:t>约为-</w:t>
            </w:r>
            <w:r>
              <w:rPr>
                <w:rFonts w:ascii="仿宋" w:eastAsia="仿宋" w:hAnsi="仿宋"/>
                <w:bCs/>
                <w:szCs w:val="21"/>
              </w:rPr>
              <w:t>1.76%</w:t>
            </w:r>
            <w:r>
              <w:rPr>
                <w:rFonts w:ascii="仿宋" w:eastAsia="仿宋" w:hAnsi="仿宋" w:hint="eastAsia"/>
                <w:bCs/>
                <w:szCs w:val="21"/>
              </w:rPr>
              <w:t>。</w:t>
            </w:r>
          </w:p>
          <w:p w:rsidR="00CF79FF" w:rsidRDefault="00AB252A">
            <w:pPr>
              <w:spacing w:line="360" w:lineRule="exact"/>
              <w:rPr>
                <w:rFonts w:ascii="仿宋" w:eastAsia="仿宋" w:hAnsi="仿宋"/>
                <w:bCs/>
                <w:szCs w:val="21"/>
              </w:rPr>
            </w:pPr>
            <w:r>
              <w:rPr>
                <w:rFonts w:ascii="仿宋" w:eastAsia="仿宋" w:hAnsi="仿宋" w:hint="eastAsia"/>
                <w:b/>
                <w:bCs/>
                <w:szCs w:val="21"/>
              </w:rPr>
              <w:t>测算收益采用假设数据计算，不作为最终收益的计算依据，不等于实际收益，投资须谨慎。客户所能获得的最终收益以天津银行实际支付为准。</w:t>
            </w:r>
          </w:p>
        </w:tc>
      </w:tr>
      <w:tr w:rsidR="00CF79FF">
        <w:trPr>
          <w:trHeight w:val="3966"/>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产品估值</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一、估值对象：本理财产品所持有的所有资产。</w:t>
            </w:r>
          </w:p>
          <w:p w:rsidR="00CF79FF" w:rsidRDefault="00AB252A">
            <w:pPr>
              <w:spacing w:line="360" w:lineRule="exact"/>
              <w:rPr>
                <w:rFonts w:ascii="仿宋" w:eastAsia="仿宋" w:hAnsi="仿宋"/>
                <w:bCs/>
                <w:szCs w:val="21"/>
              </w:rPr>
            </w:pPr>
            <w:r>
              <w:rPr>
                <w:rFonts w:ascii="仿宋" w:eastAsia="仿宋" w:hAnsi="仿宋" w:hint="eastAsia"/>
                <w:bCs/>
                <w:szCs w:val="21"/>
              </w:rPr>
              <w:t>二、估值方法</w:t>
            </w:r>
          </w:p>
          <w:p w:rsidR="00CF79FF" w:rsidRDefault="00AB252A">
            <w:pPr>
              <w:spacing w:line="360" w:lineRule="exact"/>
              <w:rPr>
                <w:rFonts w:ascii="仿宋" w:eastAsia="仿宋" w:hAnsi="仿宋"/>
                <w:bCs/>
                <w:szCs w:val="21"/>
              </w:rPr>
            </w:pPr>
            <w:r>
              <w:rPr>
                <w:rFonts w:ascii="仿宋" w:eastAsia="仿宋" w:hAnsi="仿宋" w:hint="eastAsia"/>
                <w:bCs/>
                <w:szCs w:val="21"/>
              </w:rPr>
              <w:t>（一）现金、银行存款</w:t>
            </w:r>
          </w:p>
          <w:p w:rsidR="00CF79FF" w:rsidRDefault="00AB252A">
            <w:pPr>
              <w:spacing w:line="360" w:lineRule="exact"/>
              <w:rPr>
                <w:rFonts w:ascii="仿宋" w:eastAsia="仿宋" w:hAnsi="仿宋"/>
                <w:bCs/>
                <w:szCs w:val="21"/>
              </w:rPr>
            </w:pPr>
            <w:r>
              <w:rPr>
                <w:rFonts w:ascii="仿宋" w:eastAsia="仿宋" w:hAnsi="仿宋" w:hint="eastAsia"/>
                <w:bCs/>
                <w:szCs w:val="21"/>
              </w:rPr>
              <w:t>以本金列示，逐日计提银行存款利息，按商定利率确认存款利息收入。</w:t>
            </w:r>
          </w:p>
          <w:p w:rsidR="00CF79FF" w:rsidRDefault="00AB252A">
            <w:pPr>
              <w:spacing w:line="360" w:lineRule="exact"/>
              <w:rPr>
                <w:rFonts w:ascii="仿宋" w:eastAsia="仿宋" w:hAnsi="仿宋"/>
                <w:bCs/>
                <w:szCs w:val="21"/>
              </w:rPr>
            </w:pPr>
            <w:r>
              <w:rPr>
                <w:rFonts w:ascii="仿宋" w:eastAsia="仿宋" w:hAnsi="仿宋" w:hint="eastAsia"/>
                <w:bCs/>
                <w:szCs w:val="21"/>
              </w:rPr>
              <w:t>（二）货币市场工具（质押式回购、同业拆借等）</w:t>
            </w:r>
          </w:p>
          <w:p w:rsidR="00CF79FF" w:rsidRDefault="00AB252A">
            <w:pPr>
              <w:spacing w:line="360" w:lineRule="exact"/>
              <w:rPr>
                <w:rFonts w:ascii="仿宋" w:eastAsia="仿宋" w:hAnsi="仿宋"/>
                <w:bCs/>
                <w:szCs w:val="21"/>
              </w:rPr>
            </w:pPr>
            <w:r>
              <w:rPr>
                <w:rFonts w:ascii="仿宋" w:eastAsia="仿宋" w:hAnsi="仿宋" w:hint="eastAsia"/>
                <w:bCs/>
                <w:szCs w:val="21"/>
              </w:rPr>
              <w:t>以本金列示，按商定利率逐日计提利息收入/支出。</w:t>
            </w:r>
          </w:p>
          <w:p w:rsidR="00CF79FF" w:rsidRDefault="00AB252A">
            <w:pPr>
              <w:spacing w:line="360" w:lineRule="exact"/>
              <w:rPr>
                <w:rFonts w:ascii="仿宋" w:eastAsia="仿宋" w:hAnsi="仿宋"/>
                <w:bCs/>
                <w:szCs w:val="21"/>
              </w:rPr>
            </w:pPr>
            <w:r>
              <w:rPr>
                <w:rFonts w:ascii="仿宋" w:eastAsia="仿宋" w:hAnsi="仿宋" w:hint="eastAsia"/>
                <w:bCs/>
                <w:szCs w:val="21"/>
              </w:rPr>
              <w:t>（三）银行间市场和证券交易所流通的债券等标准化固定收益类资产</w:t>
            </w:r>
          </w:p>
          <w:p w:rsidR="00CF79FF" w:rsidRDefault="00AB252A">
            <w:pPr>
              <w:spacing w:line="360" w:lineRule="exact"/>
              <w:rPr>
                <w:rFonts w:ascii="仿宋" w:eastAsia="仿宋" w:hAnsi="仿宋"/>
                <w:bCs/>
                <w:szCs w:val="21"/>
              </w:rPr>
            </w:pPr>
            <w:r>
              <w:rPr>
                <w:rFonts w:ascii="仿宋" w:eastAsia="仿宋" w:hAnsi="仿宋" w:hint="eastAsia"/>
                <w:bCs/>
                <w:szCs w:val="21"/>
              </w:rPr>
              <w:t>1、银行</w:t>
            </w:r>
            <w:proofErr w:type="gramStart"/>
            <w:r>
              <w:rPr>
                <w:rFonts w:ascii="仿宋" w:eastAsia="仿宋" w:hAnsi="仿宋" w:hint="eastAsia"/>
                <w:bCs/>
                <w:szCs w:val="21"/>
              </w:rPr>
              <w:t>间固定</w:t>
            </w:r>
            <w:proofErr w:type="gramEnd"/>
            <w:r>
              <w:rPr>
                <w:rFonts w:ascii="仿宋" w:eastAsia="仿宋" w:hAnsi="仿宋" w:hint="eastAsia"/>
                <w:bCs/>
                <w:szCs w:val="21"/>
              </w:rPr>
              <w:t>收益类证券</w:t>
            </w:r>
          </w:p>
          <w:p w:rsidR="00CF79FF" w:rsidRDefault="00AB252A">
            <w:pPr>
              <w:spacing w:line="360" w:lineRule="exact"/>
              <w:rPr>
                <w:rFonts w:ascii="仿宋" w:eastAsia="仿宋" w:hAnsi="仿宋"/>
                <w:bCs/>
                <w:szCs w:val="21"/>
              </w:rPr>
            </w:pPr>
            <w:r>
              <w:rPr>
                <w:rFonts w:ascii="仿宋" w:eastAsia="仿宋" w:hAnsi="仿宋" w:hint="eastAsia"/>
                <w:bCs/>
                <w:szCs w:val="21"/>
              </w:rPr>
              <w:t>以公允价值估值，主要依据为第三方估值机构即中央国债登记结算公司（以下简称“中债”）提供的价格数据。</w:t>
            </w:r>
          </w:p>
          <w:p w:rsidR="00CF79FF" w:rsidRDefault="00AB252A">
            <w:pPr>
              <w:spacing w:line="360" w:lineRule="exact"/>
              <w:rPr>
                <w:rFonts w:ascii="仿宋" w:eastAsia="仿宋" w:hAnsi="仿宋"/>
                <w:bCs/>
                <w:szCs w:val="21"/>
              </w:rPr>
            </w:pPr>
            <w:r>
              <w:rPr>
                <w:rFonts w:ascii="仿宋" w:eastAsia="仿宋" w:hAnsi="仿宋" w:hint="eastAsia"/>
                <w:bCs/>
                <w:szCs w:val="21"/>
              </w:rPr>
              <w:t>（1）对银行间市场上不含权的固定收益品种，选取中</w:t>
            </w:r>
            <w:proofErr w:type="gramStart"/>
            <w:r>
              <w:rPr>
                <w:rFonts w:ascii="仿宋" w:eastAsia="仿宋" w:hAnsi="仿宋" w:hint="eastAsia"/>
                <w:bCs/>
                <w:szCs w:val="21"/>
              </w:rPr>
              <w:t>债提供</w:t>
            </w:r>
            <w:proofErr w:type="gramEnd"/>
            <w:r>
              <w:rPr>
                <w:rFonts w:ascii="仿宋" w:eastAsia="仿宋" w:hAnsi="仿宋" w:hint="eastAsia"/>
                <w:bCs/>
                <w:szCs w:val="21"/>
              </w:rPr>
              <w:t>的相应品种当日的估值净价。</w:t>
            </w:r>
          </w:p>
          <w:p w:rsidR="00CF79FF" w:rsidRDefault="00AB252A">
            <w:pPr>
              <w:spacing w:line="360" w:lineRule="exact"/>
              <w:rPr>
                <w:rFonts w:ascii="仿宋" w:eastAsia="仿宋" w:hAnsi="仿宋"/>
                <w:bCs/>
                <w:szCs w:val="21"/>
              </w:rPr>
            </w:pPr>
            <w:r>
              <w:rPr>
                <w:rFonts w:ascii="仿宋" w:eastAsia="仿宋" w:hAnsi="仿宋" w:hint="eastAsia"/>
                <w:bCs/>
                <w:szCs w:val="21"/>
              </w:rPr>
              <w:t>（2）对银行间市场上含权的固定收益品种，选取中</w:t>
            </w:r>
            <w:proofErr w:type="gramStart"/>
            <w:r>
              <w:rPr>
                <w:rFonts w:ascii="仿宋" w:eastAsia="仿宋" w:hAnsi="仿宋" w:hint="eastAsia"/>
                <w:bCs/>
                <w:szCs w:val="21"/>
              </w:rPr>
              <w:t>债提供</w:t>
            </w:r>
            <w:proofErr w:type="gramEnd"/>
            <w:r>
              <w:rPr>
                <w:rFonts w:ascii="仿宋" w:eastAsia="仿宋" w:hAnsi="仿宋" w:hint="eastAsia"/>
                <w:bCs/>
                <w:szCs w:val="21"/>
              </w:rPr>
              <w:t>的相应品种当日的唯一估值净价或推荐估值净价。对于含投资人回售权的固定收益品种，回售登记截止日（含当日）后未行使回售权的按照长待偿期所对应的价格进行估值。</w:t>
            </w:r>
          </w:p>
          <w:p w:rsidR="00CF79FF" w:rsidRDefault="00AB252A">
            <w:pPr>
              <w:spacing w:line="360" w:lineRule="exact"/>
              <w:rPr>
                <w:rFonts w:ascii="仿宋" w:eastAsia="仿宋" w:hAnsi="仿宋"/>
                <w:bCs/>
                <w:szCs w:val="21"/>
              </w:rPr>
            </w:pPr>
            <w:r>
              <w:rPr>
                <w:rFonts w:ascii="仿宋" w:eastAsia="仿宋" w:hAnsi="仿宋" w:hint="eastAsia"/>
                <w:bCs/>
                <w:szCs w:val="21"/>
              </w:rPr>
              <w:t>（3）对银行间市场未上市，且</w:t>
            </w:r>
            <w:proofErr w:type="gramStart"/>
            <w:r>
              <w:rPr>
                <w:rFonts w:ascii="仿宋" w:eastAsia="仿宋" w:hAnsi="仿宋" w:hint="eastAsia"/>
                <w:bCs/>
                <w:szCs w:val="21"/>
              </w:rPr>
              <w:t>中债未提供</w:t>
            </w:r>
            <w:proofErr w:type="gramEnd"/>
            <w:r>
              <w:rPr>
                <w:rFonts w:ascii="仿宋" w:eastAsia="仿宋" w:hAnsi="仿宋" w:hint="eastAsia"/>
                <w:bCs/>
                <w:szCs w:val="21"/>
              </w:rPr>
              <w:t>估值价格的固定收益品种，在发行利率和二级市场利率不存在明显差异、未上市期间市场利率没有发生大的变动的情况下，按成本估值。</w:t>
            </w:r>
          </w:p>
          <w:p w:rsidR="00CF79FF" w:rsidRDefault="00AB252A">
            <w:pPr>
              <w:spacing w:line="360" w:lineRule="exact"/>
              <w:rPr>
                <w:rFonts w:ascii="仿宋" w:eastAsia="仿宋" w:hAnsi="仿宋"/>
                <w:bCs/>
                <w:szCs w:val="21"/>
              </w:rPr>
            </w:pPr>
            <w:r>
              <w:rPr>
                <w:rFonts w:ascii="仿宋" w:eastAsia="仿宋" w:hAnsi="仿宋" w:hint="eastAsia"/>
                <w:bCs/>
                <w:szCs w:val="21"/>
              </w:rPr>
              <w:t>2、交易所固定收益类证券</w:t>
            </w:r>
          </w:p>
          <w:p w:rsidR="00CF79FF" w:rsidRDefault="00AB252A">
            <w:pPr>
              <w:spacing w:line="360" w:lineRule="exact"/>
              <w:rPr>
                <w:rFonts w:ascii="仿宋" w:eastAsia="仿宋" w:hAnsi="仿宋"/>
                <w:bCs/>
                <w:szCs w:val="21"/>
              </w:rPr>
            </w:pPr>
            <w:r>
              <w:rPr>
                <w:rFonts w:ascii="仿宋" w:eastAsia="仿宋" w:hAnsi="仿宋" w:hint="eastAsia"/>
                <w:bCs/>
                <w:szCs w:val="21"/>
              </w:rPr>
              <w:t>以公允价值估值，主要依据为第三方估值机构即中证指数有限公司（以下简称“中证”）提供的价格数据。</w:t>
            </w:r>
          </w:p>
          <w:p w:rsidR="00CF79FF" w:rsidRDefault="00AB252A">
            <w:pPr>
              <w:spacing w:line="360" w:lineRule="exact"/>
              <w:rPr>
                <w:rFonts w:ascii="仿宋" w:eastAsia="仿宋" w:hAnsi="仿宋"/>
                <w:bCs/>
                <w:szCs w:val="21"/>
              </w:rPr>
            </w:pPr>
            <w:r>
              <w:rPr>
                <w:rFonts w:ascii="仿宋" w:eastAsia="仿宋" w:hAnsi="仿宋" w:hint="eastAsia"/>
                <w:bCs/>
                <w:szCs w:val="21"/>
              </w:rPr>
              <w:t>（1）对在交易所上市交易或挂牌转让的不含</w:t>
            </w:r>
            <w:proofErr w:type="gramStart"/>
            <w:r>
              <w:rPr>
                <w:rFonts w:ascii="仿宋" w:eastAsia="仿宋" w:hAnsi="仿宋" w:hint="eastAsia"/>
                <w:bCs/>
                <w:szCs w:val="21"/>
              </w:rPr>
              <w:t>权固定</w:t>
            </w:r>
            <w:proofErr w:type="gramEnd"/>
            <w:r>
              <w:rPr>
                <w:rFonts w:ascii="仿宋" w:eastAsia="仿宋" w:hAnsi="仿宋" w:hint="eastAsia"/>
                <w:bCs/>
                <w:szCs w:val="21"/>
              </w:rPr>
              <w:t>收益品种，选取中证提供的相应品种当日的估值净价。</w:t>
            </w:r>
          </w:p>
          <w:p w:rsidR="00CF79FF" w:rsidRDefault="00AB252A">
            <w:pPr>
              <w:spacing w:line="360" w:lineRule="exact"/>
              <w:rPr>
                <w:rFonts w:ascii="仿宋" w:eastAsia="仿宋" w:hAnsi="仿宋"/>
                <w:bCs/>
                <w:szCs w:val="21"/>
              </w:rPr>
            </w:pPr>
            <w:r>
              <w:rPr>
                <w:rFonts w:ascii="仿宋" w:eastAsia="仿宋" w:hAnsi="仿宋" w:hint="eastAsia"/>
                <w:bCs/>
                <w:szCs w:val="21"/>
              </w:rPr>
              <w:t>（2）对在交易所上市交易或挂牌转让的含</w:t>
            </w:r>
            <w:proofErr w:type="gramStart"/>
            <w:r>
              <w:rPr>
                <w:rFonts w:ascii="仿宋" w:eastAsia="仿宋" w:hAnsi="仿宋" w:hint="eastAsia"/>
                <w:bCs/>
                <w:szCs w:val="21"/>
              </w:rPr>
              <w:t>权固定</w:t>
            </w:r>
            <w:proofErr w:type="gramEnd"/>
            <w:r>
              <w:rPr>
                <w:rFonts w:ascii="仿宋" w:eastAsia="仿宋" w:hAnsi="仿宋" w:hint="eastAsia"/>
                <w:bCs/>
                <w:szCs w:val="21"/>
              </w:rPr>
              <w:t>收益品种，选取中证提供的相应品种当日的唯一估值净价或推荐估值净价。</w:t>
            </w:r>
          </w:p>
          <w:p w:rsidR="00CF79FF" w:rsidRDefault="00AB252A">
            <w:pPr>
              <w:spacing w:line="360" w:lineRule="exact"/>
              <w:rPr>
                <w:rFonts w:ascii="仿宋" w:eastAsia="仿宋" w:hAnsi="仿宋"/>
                <w:bCs/>
                <w:szCs w:val="21"/>
              </w:rPr>
            </w:pPr>
            <w:r>
              <w:rPr>
                <w:rFonts w:ascii="仿宋" w:eastAsia="仿宋" w:hAnsi="仿宋" w:hint="eastAsia"/>
                <w:bCs/>
                <w:szCs w:val="21"/>
              </w:rPr>
              <w:t>（3）第三方估值机构提供的估值价格与收盘价存在差异的，若产品管理人认定交易所收盘价更能体现公允价值，可与托管人协商一致后采用收盘价进行估值。</w:t>
            </w:r>
          </w:p>
          <w:p w:rsidR="00CF79FF" w:rsidRDefault="00AB252A">
            <w:pPr>
              <w:spacing w:line="360" w:lineRule="exact"/>
              <w:rPr>
                <w:rFonts w:ascii="仿宋" w:eastAsia="仿宋" w:hAnsi="仿宋"/>
                <w:bCs/>
                <w:szCs w:val="21"/>
              </w:rPr>
            </w:pPr>
            <w:r>
              <w:rPr>
                <w:rFonts w:ascii="仿宋" w:eastAsia="仿宋" w:hAnsi="仿宋" w:hint="eastAsia"/>
                <w:bCs/>
                <w:szCs w:val="21"/>
              </w:rPr>
              <w:lastRenderedPageBreak/>
              <w:t>（4）证券交易所交易的含有转股券的债券（如：可转换债券、可交换债券等）：对于公开发行的可转债、可交债，实行全价交易的债券按照估值日收盘价减去收盘价中所含债券应收利息后得到的净价进行估值；实行净价交易的债券，采用估值日收盘价估值。对于非公开发行的可转债、可交债，采用第三方估值机构提供的价格数据确定公允价值。</w:t>
            </w:r>
          </w:p>
          <w:p w:rsidR="00CF79FF" w:rsidRDefault="00AB252A">
            <w:pPr>
              <w:spacing w:line="360" w:lineRule="exact"/>
              <w:rPr>
                <w:rFonts w:ascii="仿宋" w:eastAsia="仿宋" w:hAnsi="仿宋"/>
                <w:bCs/>
                <w:szCs w:val="21"/>
              </w:rPr>
            </w:pPr>
            <w:r>
              <w:rPr>
                <w:rFonts w:ascii="仿宋" w:eastAsia="仿宋" w:hAnsi="仿宋" w:hint="eastAsia"/>
                <w:bCs/>
                <w:szCs w:val="21"/>
              </w:rPr>
              <w:t>（5）对在交易所市场发行未上市或未挂牌转让的债券，对存在活跃市场的情况下，以活跃市场上未经调整的报价作为计量日的公允价值；对于交易量和交易频率不足以反映公允价值的情况下，采用第三方估值机构提供的价格数据或其他估值技术确定公允价值。</w:t>
            </w:r>
          </w:p>
          <w:p w:rsidR="00CF79FF" w:rsidRDefault="00AB252A">
            <w:pPr>
              <w:spacing w:line="360" w:lineRule="exact"/>
              <w:rPr>
                <w:rFonts w:ascii="仿宋" w:eastAsia="仿宋" w:hAnsi="仿宋"/>
                <w:bCs/>
                <w:szCs w:val="21"/>
              </w:rPr>
            </w:pPr>
            <w:r>
              <w:rPr>
                <w:rFonts w:ascii="仿宋" w:eastAsia="仿宋" w:hAnsi="仿宋" w:hint="eastAsia"/>
                <w:bCs/>
                <w:szCs w:val="21"/>
              </w:rPr>
              <w:t>3、资产支持证券（ABS）、资产支持票据（ABN）、信贷资产证券化（MBS）、私募债等资产，存在可以确定公允价值的，以公允价值估值，公允价值不能确定的，按照成本估值。</w:t>
            </w:r>
          </w:p>
          <w:p w:rsidR="00CF79FF" w:rsidRDefault="00AB252A">
            <w:pPr>
              <w:spacing w:line="360" w:lineRule="exact"/>
              <w:rPr>
                <w:rFonts w:ascii="仿宋" w:eastAsia="仿宋" w:hAnsi="仿宋"/>
                <w:bCs/>
                <w:szCs w:val="21"/>
              </w:rPr>
            </w:pPr>
            <w:r>
              <w:rPr>
                <w:rFonts w:ascii="仿宋" w:eastAsia="仿宋" w:hAnsi="仿宋" w:hint="eastAsia"/>
                <w:bCs/>
                <w:szCs w:val="21"/>
              </w:rPr>
              <w:t>4、同时在多个市场交易的证券</w:t>
            </w:r>
          </w:p>
          <w:p w:rsidR="00CF79FF" w:rsidRDefault="00AB252A">
            <w:pPr>
              <w:spacing w:line="360" w:lineRule="exact"/>
              <w:rPr>
                <w:rFonts w:ascii="仿宋" w:eastAsia="仿宋" w:hAnsi="仿宋"/>
                <w:bCs/>
                <w:szCs w:val="21"/>
              </w:rPr>
            </w:pPr>
            <w:r>
              <w:rPr>
                <w:rFonts w:ascii="仿宋" w:eastAsia="仿宋" w:hAnsi="仿宋" w:hint="eastAsia"/>
                <w:bCs/>
                <w:szCs w:val="21"/>
              </w:rPr>
              <w:t>对于具备同时在多个不同市场交易条件的证券，以其实际发生交易所</w:t>
            </w:r>
            <w:proofErr w:type="gramStart"/>
            <w:r>
              <w:rPr>
                <w:rFonts w:ascii="仿宋" w:eastAsia="仿宋" w:hAnsi="仿宋" w:hint="eastAsia"/>
                <w:bCs/>
                <w:szCs w:val="21"/>
              </w:rPr>
              <w:t>处市场</w:t>
            </w:r>
            <w:proofErr w:type="gramEnd"/>
            <w:r>
              <w:rPr>
                <w:rFonts w:ascii="仿宋" w:eastAsia="仿宋" w:hAnsi="仿宋" w:hint="eastAsia"/>
                <w:bCs/>
                <w:szCs w:val="21"/>
              </w:rPr>
              <w:t>及相应估值标准进行估值。</w:t>
            </w:r>
          </w:p>
          <w:p w:rsidR="00CF79FF" w:rsidRDefault="00AB252A">
            <w:pPr>
              <w:spacing w:line="360" w:lineRule="exact"/>
              <w:rPr>
                <w:rFonts w:ascii="仿宋" w:eastAsia="仿宋" w:hAnsi="仿宋"/>
                <w:bCs/>
                <w:szCs w:val="21"/>
              </w:rPr>
            </w:pPr>
            <w:r>
              <w:rPr>
                <w:rFonts w:ascii="仿宋" w:eastAsia="仿宋" w:hAnsi="仿宋" w:hint="eastAsia"/>
                <w:bCs/>
                <w:szCs w:val="21"/>
              </w:rPr>
              <w:t>（四）非标准化债权类资产</w:t>
            </w:r>
          </w:p>
          <w:p w:rsidR="00CF79FF" w:rsidRDefault="00AB252A">
            <w:pPr>
              <w:spacing w:line="360" w:lineRule="exact"/>
              <w:rPr>
                <w:rFonts w:ascii="仿宋" w:eastAsia="仿宋" w:hAnsi="仿宋"/>
                <w:bCs/>
                <w:szCs w:val="21"/>
              </w:rPr>
            </w:pPr>
            <w:r>
              <w:rPr>
                <w:rFonts w:ascii="仿宋" w:eastAsia="仿宋" w:hAnsi="仿宋" w:hint="eastAsia"/>
                <w:bCs/>
                <w:szCs w:val="21"/>
              </w:rPr>
              <w:t>按照公允价值估值，不能确定公允价值的，采用估值技术进行估值。</w:t>
            </w:r>
          </w:p>
          <w:p w:rsidR="00CF79FF" w:rsidRDefault="00AB252A">
            <w:pPr>
              <w:spacing w:line="360" w:lineRule="exact"/>
              <w:rPr>
                <w:rFonts w:ascii="仿宋" w:eastAsia="仿宋" w:hAnsi="仿宋"/>
                <w:bCs/>
                <w:szCs w:val="21"/>
              </w:rPr>
            </w:pPr>
            <w:r>
              <w:rPr>
                <w:rFonts w:ascii="仿宋" w:eastAsia="仿宋" w:hAnsi="仿宋" w:hint="eastAsia"/>
                <w:bCs/>
                <w:szCs w:val="21"/>
              </w:rPr>
              <w:t>（五）证券投资基金</w:t>
            </w:r>
          </w:p>
          <w:p w:rsidR="00CF79FF" w:rsidRDefault="00AB252A">
            <w:pPr>
              <w:spacing w:line="360" w:lineRule="exact"/>
              <w:rPr>
                <w:rFonts w:ascii="仿宋" w:eastAsia="仿宋" w:hAnsi="仿宋"/>
                <w:bCs/>
                <w:szCs w:val="21"/>
              </w:rPr>
            </w:pPr>
            <w:r>
              <w:rPr>
                <w:rFonts w:ascii="仿宋" w:eastAsia="仿宋" w:hAnsi="仿宋" w:hint="eastAsia"/>
                <w:bCs/>
                <w:szCs w:val="21"/>
              </w:rPr>
              <w:t>以公允价值进行估值。</w:t>
            </w:r>
          </w:p>
          <w:p w:rsidR="00CF79FF" w:rsidRDefault="00AB252A">
            <w:pPr>
              <w:spacing w:line="360" w:lineRule="exact"/>
              <w:rPr>
                <w:rFonts w:ascii="仿宋" w:eastAsia="仿宋" w:hAnsi="仿宋"/>
                <w:bCs/>
                <w:szCs w:val="21"/>
              </w:rPr>
            </w:pPr>
            <w:r>
              <w:rPr>
                <w:rFonts w:ascii="仿宋" w:eastAsia="仿宋" w:hAnsi="仿宋" w:hint="eastAsia"/>
                <w:bCs/>
                <w:szCs w:val="21"/>
              </w:rPr>
              <w:t>1、非上市基金估值</w:t>
            </w:r>
          </w:p>
          <w:p w:rsidR="00CF79FF" w:rsidRDefault="00AB252A">
            <w:pPr>
              <w:spacing w:line="360" w:lineRule="exact"/>
              <w:rPr>
                <w:rFonts w:ascii="仿宋" w:eastAsia="仿宋" w:hAnsi="仿宋"/>
                <w:bCs/>
                <w:szCs w:val="21"/>
              </w:rPr>
            </w:pPr>
            <w:r>
              <w:rPr>
                <w:rFonts w:ascii="仿宋" w:eastAsia="仿宋" w:hAnsi="仿宋" w:hint="eastAsia"/>
                <w:bCs/>
                <w:szCs w:val="21"/>
              </w:rPr>
              <w:t>（1）理财产品投资的境内非货币市场基金，按所投资基金估值日的份额净值估值。</w:t>
            </w:r>
          </w:p>
          <w:p w:rsidR="00CF79FF" w:rsidRDefault="00AB252A">
            <w:pPr>
              <w:spacing w:line="360" w:lineRule="exact"/>
              <w:rPr>
                <w:rFonts w:ascii="仿宋" w:eastAsia="仿宋" w:hAnsi="仿宋"/>
                <w:bCs/>
                <w:szCs w:val="21"/>
              </w:rPr>
            </w:pPr>
            <w:r>
              <w:rPr>
                <w:rFonts w:ascii="仿宋" w:eastAsia="仿宋" w:hAnsi="仿宋" w:hint="eastAsia"/>
                <w:bCs/>
                <w:szCs w:val="21"/>
              </w:rPr>
              <w:t>（2）理财产品投资的境内货币市场基金，按所投资基金前一估值日后至估值日期间（含节假日）的万份收益计提估值日基金收益。</w:t>
            </w:r>
          </w:p>
          <w:p w:rsidR="00CF79FF" w:rsidRDefault="00AB252A">
            <w:pPr>
              <w:spacing w:line="360" w:lineRule="exact"/>
              <w:rPr>
                <w:rFonts w:ascii="仿宋" w:eastAsia="仿宋" w:hAnsi="仿宋"/>
                <w:bCs/>
                <w:szCs w:val="21"/>
              </w:rPr>
            </w:pPr>
            <w:r>
              <w:rPr>
                <w:rFonts w:ascii="仿宋" w:eastAsia="仿宋" w:hAnsi="仿宋" w:hint="eastAsia"/>
                <w:bCs/>
                <w:szCs w:val="21"/>
              </w:rPr>
              <w:t>2、上市基金估值</w:t>
            </w:r>
          </w:p>
          <w:p w:rsidR="00CF79FF" w:rsidRDefault="00AB252A">
            <w:pPr>
              <w:spacing w:line="360" w:lineRule="exact"/>
              <w:rPr>
                <w:rFonts w:ascii="仿宋" w:eastAsia="仿宋" w:hAnsi="仿宋"/>
                <w:bCs/>
                <w:szCs w:val="21"/>
              </w:rPr>
            </w:pPr>
            <w:r>
              <w:rPr>
                <w:rFonts w:ascii="仿宋" w:eastAsia="仿宋" w:hAnsi="仿宋" w:hint="eastAsia"/>
                <w:bCs/>
                <w:szCs w:val="21"/>
              </w:rPr>
              <w:t>（1）理财产品投资的ETF基金，按所投资ETF基金估值日的收盘价估值。</w:t>
            </w:r>
          </w:p>
          <w:p w:rsidR="00CF79FF" w:rsidRDefault="00AB252A">
            <w:pPr>
              <w:spacing w:line="360" w:lineRule="exact"/>
              <w:rPr>
                <w:rFonts w:ascii="仿宋" w:eastAsia="仿宋" w:hAnsi="仿宋"/>
                <w:bCs/>
                <w:szCs w:val="21"/>
              </w:rPr>
            </w:pPr>
            <w:r>
              <w:rPr>
                <w:rFonts w:ascii="仿宋" w:eastAsia="仿宋" w:hAnsi="仿宋" w:hint="eastAsia"/>
                <w:bCs/>
                <w:szCs w:val="21"/>
              </w:rPr>
              <w:t>（2）理财产品投资的境内上市开放式基金（LOF），按所投资基金估值日的份额净值估值。</w:t>
            </w:r>
          </w:p>
          <w:p w:rsidR="00CF79FF" w:rsidRDefault="00AB252A">
            <w:pPr>
              <w:spacing w:line="360" w:lineRule="exact"/>
              <w:rPr>
                <w:rFonts w:ascii="仿宋" w:eastAsia="仿宋" w:hAnsi="仿宋"/>
                <w:bCs/>
                <w:szCs w:val="21"/>
              </w:rPr>
            </w:pPr>
            <w:r>
              <w:rPr>
                <w:rFonts w:ascii="仿宋" w:eastAsia="仿宋" w:hAnsi="仿宋" w:hint="eastAsia"/>
                <w:bCs/>
                <w:szCs w:val="21"/>
              </w:rPr>
              <w:t>（3）理财产品投资的境内上市定期开放式基金、封闭式基金，按所投资基金估值日的收盘价估值。</w:t>
            </w:r>
          </w:p>
          <w:p w:rsidR="00CF79FF" w:rsidRDefault="00AB252A">
            <w:pPr>
              <w:spacing w:line="360" w:lineRule="exact"/>
              <w:rPr>
                <w:rFonts w:ascii="仿宋" w:eastAsia="仿宋" w:hAnsi="仿宋"/>
                <w:bCs/>
                <w:szCs w:val="21"/>
              </w:rPr>
            </w:pPr>
            <w:r>
              <w:rPr>
                <w:rFonts w:ascii="仿宋" w:eastAsia="仿宋" w:hAnsi="仿宋" w:hint="eastAsia"/>
                <w:bCs/>
                <w:szCs w:val="21"/>
              </w:rPr>
              <w:t>（4）理财产品投资的境内上市交易型货币市场基金，如所投资基金披露份额净值，则按所投资基金估值日的份额净值估值；如所投资基金披露万份收益，则按所投资基金前一估值日后至估值日期间（含节假日）的万份收益计提估值日基金收益。</w:t>
            </w:r>
          </w:p>
          <w:p w:rsidR="00CF79FF" w:rsidRDefault="00AB252A">
            <w:pPr>
              <w:spacing w:line="360" w:lineRule="exact"/>
              <w:rPr>
                <w:rFonts w:ascii="仿宋" w:eastAsia="仿宋" w:hAnsi="仿宋"/>
                <w:bCs/>
                <w:szCs w:val="21"/>
              </w:rPr>
            </w:pPr>
            <w:r>
              <w:rPr>
                <w:rFonts w:ascii="仿宋" w:eastAsia="仿宋" w:hAnsi="仿宋" w:hint="eastAsia"/>
                <w:bCs/>
                <w:szCs w:val="21"/>
              </w:rPr>
              <w:t>3.特殊情况处理</w:t>
            </w:r>
          </w:p>
          <w:p w:rsidR="00CF79FF" w:rsidRDefault="00AB252A">
            <w:pPr>
              <w:spacing w:line="360" w:lineRule="exact"/>
              <w:rPr>
                <w:rFonts w:ascii="仿宋" w:eastAsia="仿宋" w:hAnsi="仿宋"/>
                <w:bCs/>
                <w:szCs w:val="21"/>
              </w:rPr>
            </w:pPr>
            <w:proofErr w:type="gramStart"/>
            <w:r>
              <w:rPr>
                <w:rFonts w:ascii="仿宋" w:eastAsia="仿宋" w:hAnsi="仿宋" w:hint="eastAsia"/>
                <w:bCs/>
                <w:szCs w:val="21"/>
              </w:rPr>
              <w:t>如遇所投资</w:t>
            </w:r>
            <w:proofErr w:type="gramEnd"/>
            <w:r>
              <w:rPr>
                <w:rFonts w:ascii="仿宋" w:eastAsia="仿宋" w:hAnsi="仿宋" w:hint="eastAsia"/>
                <w:bCs/>
                <w:szCs w:val="21"/>
              </w:rPr>
              <w:t>基金不公布基金份额净值、进行折算或拆分、估值日无交易等特殊情况，产品管理人根据以下原则进行估值。</w:t>
            </w:r>
          </w:p>
          <w:p w:rsidR="00CF79FF" w:rsidRDefault="00AB252A">
            <w:pPr>
              <w:spacing w:line="360" w:lineRule="exact"/>
              <w:rPr>
                <w:rFonts w:ascii="仿宋" w:eastAsia="仿宋" w:hAnsi="仿宋"/>
                <w:bCs/>
                <w:szCs w:val="21"/>
              </w:rPr>
            </w:pPr>
            <w:r>
              <w:rPr>
                <w:rFonts w:ascii="仿宋" w:eastAsia="仿宋" w:hAnsi="仿宋" w:hint="eastAsia"/>
                <w:bCs/>
                <w:szCs w:val="21"/>
              </w:rPr>
              <w:t>（1）以所投资基金的基金份额净值估值的，若所投资基金与理财产品估值频率一致但未公布估值日基金份额净值，按其最近公布的基金份额净值为基础估值。</w:t>
            </w:r>
          </w:p>
          <w:p w:rsidR="00CF79FF" w:rsidRDefault="00AB252A">
            <w:pPr>
              <w:spacing w:line="360" w:lineRule="exact"/>
              <w:rPr>
                <w:rFonts w:ascii="仿宋" w:eastAsia="仿宋" w:hAnsi="仿宋"/>
                <w:bCs/>
                <w:szCs w:val="21"/>
              </w:rPr>
            </w:pPr>
            <w:r>
              <w:rPr>
                <w:rFonts w:ascii="仿宋" w:eastAsia="仿宋" w:hAnsi="仿宋" w:hint="eastAsia"/>
                <w:bCs/>
                <w:szCs w:val="21"/>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CF79FF" w:rsidRDefault="00AB252A">
            <w:pPr>
              <w:spacing w:line="360" w:lineRule="exact"/>
              <w:rPr>
                <w:rFonts w:ascii="仿宋" w:eastAsia="仿宋" w:hAnsi="仿宋"/>
                <w:bCs/>
                <w:szCs w:val="21"/>
              </w:rPr>
            </w:pPr>
            <w:r>
              <w:rPr>
                <w:rFonts w:ascii="仿宋" w:eastAsia="仿宋" w:hAnsi="仿宋" w:hint="eastAsia"/>
                <w:bCs/>
                <w:szCs w:val="21"/>
              </w:rPr>
              <w:t>（3）如果所投资基金前一估值日至估值日期间发生分红除权、折算或拆分，理财产品管理人</w:t>
            </w:r>
            <w:r>
              <w:rPr>
                <w:rFonts w:ascii="仿宋" w:eastAsia="仿宋" w:hAnsi="仿宋" w:hint="eastAsia"/>
                <w:bCs/>
                <w:szCs w:val="21"/>
              </w:rPr>
              <w:lastRenderedPageBreak/>
              <w:t>应根据基金份额净值或收盘价、单位基金份额分红金额、折算拆分比例、持仓份额等因素合理确定公允价值。</w:t>
            </w:r>
          </w:p>
          <w:p w:rsidR="00CF79FF" w:rsidRDefault="00AB252A">
            <w:pPr>
              <w:spacing w:line="360" w:lineRule="exact"/>
              <w:rPr>
                <w:rFonts w:ascii="仿宋" w:eastAsia="仿宋" w:hAnsi="仿宋"/>
                <w:bCs/>
                <w:szCs w:val="21"/>
              </w:rPr>
            </w:pPr>
            <w:r>
              <w:rPr>
                <w:rFonts w:ascii="仿宋" w:eastAsia="仿宋" w:hAnsi="仿宋" w:hint="eastAsia"/>
                <w:bCs/>
                <w:szCs w:val="21"/>
              </w:rPr>
              <w:t>（4）当产品管理人认为所投资基金按上述方法存在</w:t>
            </w:r>
            <w:proofErr w:type="gramStart"/>
            <w:r>
              <w:rPr>
                <w:rFonts w:ascii="仿宋" w:eastAsia="仿宋" w:hAnsi="仿宋" w:hint="eastAsia"/>
                <w:bCs/>
                <w:szCs w:val="21"/>
              </w:rPr>
              <w:t>不</w:t>
            </w:r>
            <w:proofErr w:type="gramEnd"/>
            <w:r>
              <w:rPr>
                <w:rFonts w:ascii="仿宋" w:eastAsia="仿宋" w:hAnsi="仿宋" w:hint="eastAsia"/>
                <w:bCs/>
                <w:szCs w:val="21"/>
              </w:rPr>
              <w:t>公允时，在法律法规允许的范围内，可与托管人协商一致采用合理的估值技术或估值标准确定其公允价值。</w:t>
            </w:r>
          </w:p>
          <w:p w:rsidR="00CF79FF" w:rsidRDefault="00AB252A">
            <w:pPr>
              <w:spacing w:line="360" w:lineRule="exact"/>
              <w:rPr>
                <w:rFonts w:ascii="仿宋" w:eastAsia="仿宋" w:hAnsi="仿宋"/>
                <w:bCs/>
                <w:szCs w:val="21"/>
              </w:rPr>
            </w:pPr>
            <w:r>
              <w:rPr>
                <w:rFonts w:ascii="仿宋" w:eastAsia="仿宋" w:hAnsi="仿宋" w:hint="eastAsia"/>
                <w:bCs/>
                <w:szCs w:val="21"/>
              </w:rPr>
              <w:t>（六）其他资产类估值</w:t>
            </w:r>
          </w:p>
          <w:p w:rsidR="00CF79FF" w:rsidRDefault="00AB252A">
            <w:pPr>
              <w:spacing w:line="360" w:lineRule="exact"/>
              <w:rPr>
                <w:rFonts w:ascii="仿宋" w:eastAsia="仿宋" w:hAnsi="仿宋"/>
                <w:bCs/>
                <w:szCs w:val="21"/>
              </w:rPr>
            </w:pPr>
            <w:r>
              <w:rPr>
                <w:rFonts w:ascii="仿宋" w:eastAsia="仿宋" w:hAnsi="仿宋" w:hint="eastAsia"/>
                <w:bCs/>
                <w:szCs w:val="21"/>
              </w:rPr>
              <w:t xml:space="preserve">　　其他资产可以确定公允价值的，以公允价值计算，公允价值不能确定的，采用估值技术进行估值。</w:t>
            </w:r>
          </w:p>
          <w:p w:rsidR="00CF79FF" w:rsidRDefault="00AB252A">
            <w:pPr>
              <w:spacing w:line="360" w:lineRule="exact"/>
              <w:rPr>
                <w:rFonts w:ascii="仿宋" w:eastAsia="仿宋" w:hAnsi="仿宋"/>
                <w:bCs/>
                <w:szCs w:val="21"/>
              </w:rPr>
            </w:pPr>
            <w:r>
              <w:rPr>
                <w:rFonts w:ascii="仿宋" w:eastAsia="仿宋" w:hAnsi="仿宋" w:hint="eastAsia"/>
                <w:bCs/>
                <w:szCs w:val="21"/>
              </w:rPr>
              <w:t>（七）若因国家规定或有确凿证据表明按上述方法进行估值不能客观反映其公允价值的，产品管理人可根据具体情况与托管人商定后，按最能反映公允价值的价格估值。</w:t>
            </w:r>
          </w:p>
          <w:p w:rsidR="00CF79FF" w:rsidRDefault="00AB252A">
            <w:pPr>
              <w:spacing w:line="360" w:lineRule="exact"/>
              <w:rPr>
                <w:rFonts w:ascii="仿宋" w:eastAsia="仿宋" w:hAnsi="仿宋"/>
                <w:bCs/>
                <w:szCs w:val="21"/>
              </w:rPr>
            </w:pPr>
            <w:r>
              <w:rPr>
                <w:rFonts w:ascii="仿宋" w:eastAsia="仿宋" w:hAnsi="仿宋" w:hint="eastAsia"/>
                <w:bCs/>
                <w:szCs w:val="21"/>
              </w:rPr>
              <w:t>（八）相关法律法规以及监管部门有其他规定的，从其规定。如有新增或调整事项，按国家相关政策最新规定估值。</w:t>
            </w:r>
          </w:p>
          <w:p w:rsidR="00CF79FF" w:rsidRDefault="00AB252A">
            <w:pPr>
              <w:spacing w:line="360" w:lineRule="exact"/>
              <w:rPr>
                <w:rFonts w:ascii="仿宋" w:eastAsia="仿宋" w:hAnsi="仿宋"/>
                <w:bCs/>
                <w:szCs w:val="21"/>
              </w:rPr>
            </w:pPr>
            <w:r>
              <w:rPr>
                <w:rFonts w:ascii="仿宋" w:eastAsia="仿宋" w:hAnsi="仿宋" w:hint="eastAsia"/>
                <w:bCs/>
                <w:szCs w:val="21"/>
              </w:rPr>
              <w:t>（九）估值错误的处理</w:t>
            </w:r>
          </w:p>
          <w:p w:rsidR="00CF79FF" w:rsidRDefault="00AB252A">
            <w:pPr>
              <w:spacing w:line="360" w:lineRule="exact"/>
              <w:rPr>
                <w:rFonts w:ascii="仿宋" w:eastAsia="仿宋" w:hAnsi="仿宋"/>
                <w:bCs/>
                <w:szCs w:val="21"/>
              </w:rPr>
            </w:pPr>
            <w:r>
              <w:rPr>
                <w:rFonts w:ascii="仿宋" w:eastAsia="仿宋" w:hAnsi="仿宋" w:hint="eastAsia"/>
                <w:bCs/>
                <w:szCs w:val="21"/>
              </w:rPr>
              <w:t>产品管理人和托管人将采取必要、适当、合理的措施确保产品资产估值的准确性、及时性。当产品份额净值出现错误时，产品管理人应当立即予以纠正，并采取合理的措施防止损失进一步扩大。由于本产品估值所用的价格来源出现错误，或由于其他不可抗力原因，产品管理人和托管人虽然已经采取必要、适当、合理的措施进行检查，但是未能发现该错误的，由此造成的产品资产估值错误，产品管理人和托管人可以免除赔偿责任，但产品管理人和托管人应当积极采取必要的措施消除由此造成的影响。</w:t>
            </w:r>
          </w:p>
          <w:p w:rsidR="00CF79FF" w:rsidRDefault="00AB252A">
            <w:pPr>
              <w:spacing w:line="360" w:lineRule="exact"/>
              <w:rPr>
                <w:rFonts w:ascii="仿宋" w:eastAsia="仿宋" w:hAnsi="仿宋"/>
                <w:bCs/>
                <w:szCs w:val="21"/>
              </w:rPr>
            </w:pPr>
            <w:r>
              <w:rPr>
                <w:rFonts w:ascii="仿宋" w:eastAsia="仿宋" w:hAnsi="仿宋" w:hint="eastAsia"/>
                <w:bCs/>
                <w:szCs w:val="21"/>
              </w:rPr>
              <w:t>（十）暂停估值</w:t>
            </w:r>
          </w:p>
          <w:p w:rsidR="00CF79FF" w:rsidRDefault="00AB252A">
            <w:pPr>
              <w:spacing w:line="360" w:lineRule="exact"/>
              <w:rPr>
                <w:rFonts w:ascii="仿宋" w:eastAsia="仿宋" w:hAnsi="仿宋"/>
                <w:bCs/>
                <w:szCs w:val="21"/>
              </w:rPr>
            </w:pPr>
            <w:r>
              <w:rPr>
                <w:rFonts w:ascii="仿宋" w:eastAsia="仿宋" w:hAnsi="仿宋" w:hint="eastAsia"/>
                <w:bCs/>
                <w:szCs w:val="21"/>
              </w:rPr>
              <w:t>当产品资产的估值因不可抗力或其他情形致使产品管理人、托管人无法准确评估产品资产价值时或监管机构认定的其他情形，产品管理人可暂停产品的估值直至另行通知。</w:t>
            </w:r>
          </w:p>
        </w:tc>
      </w:tr>
      <w:tr w:rsidR="00CF79FF">
        <w:trPr>
          <w:trHeight w:val="1542"/>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是否允许撤单</w:t>
            </w:r>
          </w:p>
        </w:tc>
        <w:tc>
          <w:tcPr>
            <w:tcW w:w="8576" w:type="dxa"/>
            <w:gridSpan w:val="7"/>
            <w:vAlign w:val="center"/>
          </w:tcPr>
          <w:p w:rsidR="00CF79FF" w:rsidRDefault="00AB252A">
            <w:pPr>
              <w:spacing w:line="360" w:lineRule="exact"/>
              <w:rPr>
                <w:rFonts w:ascii="仿宋" w:eastAsia="仿宋" w:hAnsi="仿宋"/>
                <w:b/>
                <w:bCs/>
                <w:szCs w:val="21"/>
              </w:rPr>
            </w:pPr>
            <w:r>
              <w:rPr>
                <w:rFonts w:ascii="仿宋" w:eastAsia="仿宋" w:hAnsi="仿宋" w:hint="eastAsia"/>
                <w:b/>
                <w:bCs/>
                <w:szCs w:val="21"/>
              </w:rPr>
              <w:t>1.认购申请在实际募集结束日当天闭市后不允许撤单,</w:t>
            </w:r>
            <w:r>
              <w:rPr>
                <w:rFonts w:ascii="仿宋" w:eastAsia="仿宋" w:hAnsi="仿宋"/>
                <w:b/>
                <w:bCs/>
                <w:szCs w:val="21"/>
              </w:rPr>
              <w:t>闭市时间为</w:t>
            </w:r>
            <w:r>
              <w:rPr>
                <w:rFonts w:ascii="仿宋" w:eastAsia="仿宋" w:hAnsi="仿宋" w:hint="eastAsia"/>
                <w:b/>
                <w:bCs/>
                <w:szCs w:val="21"/>
              </w:rPr>
              <w:t>17：00。</w:t>
            </w:r>
          </w:p>
          <w:p w:rsidR="00CF79FF" w:rsidRDefault="00AB252A">
            <w:pPr>
              <w:spacing w:line="360" w:lineRule="exact"/>
              <w:rPr>
                <w:rFonts w:ascii="仿宋" w:eastAsia="仿宋" w:hAnsi="仿宋"/>
                <w:bCs/>
                <w:szCs w:val="21"/>
              </w:rPr>
            </w:pPr>
            <w:r>
              <w:rPr>
                <w:rFonts w:ascii="仿宋" w:eastAsia="仿宋" w:hAnsi="仿宋" w:hint="eastAsia"/>
                <w:b/>
                <w:bCs/>
                <w:szCs w:val="21"/>
              </w:rPr>
              <w:t>2.申购、赎回申请在</w:t>
            </w:r>
            <w:r>
              <w:rPr>
                <w:rFonts w:ascii="仿宋" w:eastAsia="仿宋" w:hAnsi="仿宋"/>
                <w:b/>
                <w:bCs/>
                <w:szCs w:val="21"/>
              </w:rPr>
              <w:t>确认当日</w:t>
            </w:r>
            <w:proofErr w:type="gramStart"/>
            <w:r>
              <w:rPr>
                <w:rFonts w:ascii="仿宋" w:eastAsia="仿宋" w:hAnsi="仿宋"/>
                <w:b/>
                <w:bCs/>
                <w:szCs w:val="21"/>
              </w:rPr>
              <w:t>系统</w:t>
            </w:r>
            <w:r>
              <w:rPr>
                <w:rFonts w:ascii="仿宋" w:eastAsia="仿宋" w:hAnsi="仿宋" w:hint="eastAsia"/>
                <w:b/>
                <w:bCs/>
                <w:szCs w:val="21"/>
              </w:rPr>
              <w:t>日启</w:t>
            </w:r>
            <w:r>
              <w:rPr>
                <w:rFonts w:ascii="仿宋" w:eastAsia="仿宋" w:hAnsi="仿宋"/>
                <w:b/>
                <w:bCs/>
                <w:szCs w:val="21"/>
              </w:rPr>
              <w:t>批处理</w:t>
            </w:r>
            <w:proofErr w:type="gramEnd"/>
            <w:r>
              <w:rPr>
                <w:rFonts w:ascii="仿宋" w:eastAsia="仿宋" w:hAnsi="仿宋"/>
                <w:b/>
                <w:bCs/>
                <w:szCs w:val="21"/>
              </w:rPr>
              <w:t>开始后不允许撤单</w:t>
            </w:r>
            <w:r>
              <w:rPr>
                <w:rFonts w:ascii="仿宋" w:eastAsia="仿宋" w:hAnsi="仿宋" w:hint="eastAsia"/>
                <w:b/>
                <w:bCs/>
                <w:szCs w:val="21"/>
              </w:rPr>
              <w:t xml:space="preserve">。 </w:t>
            </w:r>
          </w:p>
        </w:tc>
      </w:tr>
      <w:tr w:rsidR="00CF79FF">
        <w:trPr>
          <w:cantSplit/>
          <w:trHeight w:val="420"/>
        </w:trPr>
        <w:tc>
          <w:tcPr>
            <w:tcW w:w="1909" w:type="dxa"/>
            <w:vMerge w:val="restart"/>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t>销售及管理</w:t>
            </w:r>
          </w:p>
        </w:tc>
        <w:tc>
          <w:tcPr>
            <w:tcW w:w="1797" w:type="dxa"/>
            <w:gridSpan w:val="2"/>
            <w:vAlign w:val="center"/>
          </w:tcPr>
          <w:p w:rsidR="00CF79FF" w:rsidRDefault="00AB252A">
            <w:pPr>
              <w:rPr>
                <w:rFonts w:ascii="仿宋" w:eastAsia="仿宋" w:hAnsi="仿宋"/>
                <w:b/>
                <w:bCs/>
                <w:kern w:val="0"/>
                <w:sz w:val="24"/>
                <w:szCs w:val="24"/>
              </w:rPr>
            </w:pPr>
            <w:r>
              <w:rPr>
                <w:rFonts w:ascii="仿宋" w:eastAsia="仿宋" w:hAnsi="仿宋" w:hint="eastAsia"/>
                <w:b/>
                <w:bCs/>
                <w:kern w:val="0"/>
                <w:sz w:val="24"/>
                <w:szCs w:val="24"/>
              </w:rPr>
              <w:t>销售渠道</w:t>
            </w:r>
          </w:p>
        </w:tc>
        <w:tc>
          <w:tcPr>
            <w:tcW w:w="6779" w:type="dxa"/>
            <w:gridSpan w:val="5"/>
            <w:vAlign w:val="center"/>
          </w:tcPr>
          <w:p w:rsidR="00CF79FF" w:rsidRDefault="00AB252A">
            <w:pPr>
              <w:rPr>
                <w:rFonts w:ascii="仿宋" w:eastAsia="仿宋" w:hAnsi="仿宋"/>
                <w:bCs/>
                <w:kern w:val="0"/>
                <w:szCs w:val="21"/>
              </w:rPr>
            </w:pPr>
            <w:r>
              <w:rPr>
                <w:rFonts w:ascii="仿宋" w:eastAsia="仿宋" w:hAnsi="仿宋" w:hint="eastAsia"/>
                <w:szCs w:val="21"/>
              </w:rPr>
              <w:t>天津银行网点、网银、手机银行客户端</w:t>
            </w:r>
          </w:p>
        </w:tc>
      </w:tr>
      <w:tr w:rsidR="00CF79FF">
        <w:trPr>
          <w:cantSplit/>
          <w:trHeight w:val="376"/>
        </w:trPr>
        <w:tc>
          <w:tcPr>
            <w:tcW w:w="1909" w:type="dxa"/>
            <w:vMerge/>
            <w:vAlign w:val="center"/>
          </w:tcPr>
          <w:p w:rsidR="00CF79FF" w:rsidRDefault="00CF79FF">
            <w:pPr>
              <w:jc w:val="center"/>
              <w:rPr>
                <w:rFonts w:ascii="仿宋" w:eastAsia="仿宋" w:hAnsi="仿宋"/>
                <w:b/>
                <w:kern w:val="0"/>
                <w:sz w:val="24"/>
                <w:szCs w:val="24"/>
              </w:rPr>
            </w:pPr>
          </w:p>
        </w:tc>
        <w:tc>
          <w:tcPr>
            <w:tcW w:w="1797" w:type="dxa"/>
            <w:gridSpan w:val="2"/>
            <w:vAlign w:val="center"/>
          </w:tcPr>
          <w:p w:rsidR="00CF79FF" w:rsidRDefault="00AB252A">
            <w:pPr>
              <w:rPr>
                <w:rFonts w:ascii="仿宋" w:eastAsia="仿宋" w:hAnsi="仿宋"/>
                <w:b/>
                <w:bCs/>
                <w:kern w:val="0"/>
                <w:sz w:val="24"/>
                <w:szCs w:val="24"/>
              </w:rPr>
            </w:pPr>
            <w:r>
              <w:rPr>
                <w:rFonts w:ascii="仿宋" w:eastAsia="仿宋" w:hAnsi="仿宋" w:hint="eastAsia"/>
                <w:b/>
                <w:bCs/>
                <w:kern w:val="0"/>
                <w:sz w:val="24"/>
                <w:szCs w:val="24"/>
              </w:rPr>
              <w:t>资产管理人</w:t>
            </w:r>
          </w:p>
        </w:tc>
        <w:tc>
          <w:tcPr>
            <w:tcW w:w="6779" w:type="dxa"/>
            <w:gridSpan w:val="5"/>
            <w:vAlign w:val="center"/>
          </w:tcPr>
          <w:p w:rsidR="00CF79FF" w:rsidRDefault="00AB252A">
            <w:pPr>
              <w:rPr>
                <w:rFonts w:ascii="仿宋" w:eastAsia="仿宋" w:hAnsi="仿宋"/>
                <w:bCs/>
                <w:kern w:val="0"/>
                <w:szCs w:val="21"/>
              </w:rPr>
            </w:pPr>
            <w:r>
              <w:rPr>
                <w:rFonts w:ascii="仿宋" w:eastAsia="仿宋" w:hAnsi="仿宋" w:hint="eastAsia"/>
                <w:bCs/>
                <w:kern w:val="0"/>
                <w:szCs w:val="21"/>
              </w:rPr>
              <w:t>天津银行</w:t>
            </w:r>
          </w:p>
        </w:tc>
      </w:tr>
      <w:tr w:rsidR="00CF79FF">
        <w:trPr>
          <w:cantSplit/>
          <w:trHeight w:val="403"/>
        </w:trPr>
        <w:tc>
          <w:tcPr>
            <w:tcW w:w="1909" w:type="dxa"/>
            <w:vMerge/>
            <w:vAlign w:val="center"/>
          </w:tcPr>
          <w:p w:rsidR="00CF79FF" w:rsidRDefault="00CF79FF">
            <w:pPr>
              <w:jc w:val="center"/>
              <w:rPr>
                <w:rFonts w:ascii="仿宋" w:eastAsia="仿宋" w:hAnsi="仿宋"/>
                <w:b/>
                <w:kern w:val="0"/>
                <w:sz w:val="24"/>
                <w:szCs w:val="24"/>
              </w:rPr>
            </w:pPr>
          </w:p>
        </w:tc>
        <w:tc>
          <w:tcPr>
            <w:tcW w:w="1797" w:type="dxa"/>
            <w:gridSpan w:val="2"/>
            <w:vAlign w:val="center"/>
          </w:tcPr>
          <w:p w:rsidR="00CF79FF" w:rsidRDefault="00AB252A">
            <w:pPr>
              <w:rPr>
                <w:rFonts w:ascii="仿宋" w:eastAsia="仿宋" w:hAnsi="仿宋"/>
                <w:b/>
                <w:bCs/>
                <w:kern w:val="0"/>
                <w:sz w:val="24"/>
                <w:szCs w:val="24"/>
              </w:rPr>
            </w:pPr>
            <w:r>
              <w:rPr>
                <w:rFonts w:ascii="仿宋" w:eastAsia="仿宋" w:hAnsi="仿宋" w:hint="eastAsia"/>
                <w:b/>
                <w:bCs/>
                <w:kern w:val="0"/>
                <w:sz w:val="24"/>
                <w:szCs w:val="24"/>
              </w:rPr>
              <w:t>资产托管人</w:t>
            </w:r>
          </w:p>
        </w:tc>
        <w:tc>
          <w:tcPr>
            <w:tcW w:w="6779" w:type="dxa"/>
            <w:gridSpan w:val="5"/>
            <w:vAlign w:val="center"/>
          </w:tcPr>
          <w:p w:rsidR="00CF79FF" w:rsidRDefault="00AB252A">
            <w:pPr>
              <w:rPr>
                <w:rFonts w:ascii="仿宋" w:eastAsia="仿宋" w:hAnsi="仿宋"/>
                <w:bCs/>
                <w:kern w:val="0"/>
                <w:szCs w:val="21"/>
              </w:rPr>
            </w:pPr>
            <w:r>
              <w:rPr>
                <w:rFonts w:ascii="仿宋" w:eastAsia="仿宋" w:hAnsi="仿宋" w:hint="eastAsia"/>
                <w:bCs/>
                <w:kern w:val="0"/>
                <w:szCs w:val="21"/>
              </w:rPr>
              <w:t>招商银行</w:t>
            </w:r>
          </w:p>
        </w:tc>
      </w:tr>
      <w:tr w:rsidR="00CF79FF">
        <w:trPr>
          <w:cantSplit/>
          <w:trHeight w:val="403"/>
        </w:trPr>
        <w:tc>
          <w:tcPr>
            <w:tcW w:w="1909" w:type="dxa"/>
            <w:vMerge/>
            <w:vAlign w:val="center"/>
          </w:tcPr>
          <w:p w:rsidR="00CF79FF" w:rsidRDefault="00CF79FF">
            <w:pPr>
              <w:jc w:val="center"/>
              <w:rPr>
                <w:rFonts w:ascii="仿宋" w:eastAsia="仿宋" w:hAnsi="仿宋"/>
                <w:b/>
                <w:kern w:val="0"/>
                <w:sz w:val="24"/>
                <w:szCs w:val="24"/>
              </w:rPr>
            </w:pPr>
          </w:p>
        </w:tc>
        <w:tc>
          <w:tcPr>
            <w:tcW w:w="1797" w:type="dxa"/>
            <w:gridSpan w:val="2"/>
            <w:vAlign w:val="center"/>
          </w:tcPr>
          <w:p w:rsidR="00CF79FF" w:rsidRDefault="00AB252A">
            <w:pPr>
              <w:rPr>
                <w:rFonts w:ascii="仿宋" w:eastAsia="仿宋" w:hAnsi="仿宋"/>
                <w:b/>
                <w:bCs/>
                <w:kern w:val="0"/>
                <w:sz w:val="24"/>
                <w:szCs w:val="24"/>
              </w:rPr>
            </w:pPr>
            <w:r>
              <w:rPr>
                <w:rFonts w:ascii="仿宋" w:eastAsia="仿宋" w:hAnsi="仿宋" w:hint="eastAsia"/>
                <w:b/>
                <w:bCs/>
                <w:kern w:val="0"/>
                <w:sz w:val="24"/>
                <w:szCs w:val="24"/>
              </w:rPr>
              <w:t>资产托管人</w:t>
            </w:r>
          </w:p>
          <w:p w:rsidR="00CF79FF" w:rsidRDefault="00AB252A">
            <w:pPr>
              <w:rPr>
                <w:rFonts w:eastAsia="仿宋_GB2312"/>
                <w:szCs w:val="21"/>
              </w:rPr>
            </w:pPr>
            <w:r>
              <w:rPr>
                <w:rFonts w:ascii="仿宋" w:eastAsia="仿宋" w:hAnsi="仿宋" w:hint="eastAsia"/>
                <w:b/>
                <w:bCs/>
                <w:kern w:val="0"/>
                <w:sz w:val="24"/>
                <w:szCs w:val="24"/>
              </w:rPr>
              <w:t>主要职责</w:t>
            </w:r>
          </w:p>
        </w:tc>
        <w:tc>
          <w:tcPr>
            <w:tcW w:w="6779" w:type="dxa"/>
            <w:gridSpan w:val="5"/>
            <w:vAlign w:val="center"/>
          </w:tcPr>
          <w:p w:rsidR="00CF79FF" w:rsidRDefault="00AB252A">
            <w:pPr>
              <w:rPr>
                <w:rFonts w:ascii="仿宋" w:eastAsia="仿宋" w:hAnsi="仿宋"/>
                <w:bCs/>
                <w:kern w:val="0"/>
                <w:szCs w:val="21"/>
              </w:rPr>
            </w:pPr>
            <w:r>
              <w:rPr>
                <w:rFonts w:eastAsia="仿宋_GB2312" w:hint="eastAsia"/>
                <w:szCs w:val="21"/>
              </w:rPr>
              <w:t>安全保管理财产品财产，对理财产品履行账户开立、资金保管、资金清算、会计核算、估值及投资监督等职责。</w:t>
            </w:r>
          </w:p>
        </w:tc>
      </w:tr>
      <w:tr w:rsidR="00CF79FF">
        <w:trPr>
          <w:trHeight w:val="2293"/>
        </w:trPr>
        <w:tc>
          <w:tcPr>
            <w:tcW w:w="1909" w:type="dxa"/>
            <w:vAlign w:val="center"/>
          </w:tcPr>
          <w:p w:rsidR="00CF79FF" w:rsidRDefault="00AB252A">
            <w:pPr>
              <w:jc w:val="center"/>
              <w:rPr>
                <w:rFonts w:ascii="仿宋" w:eastAsia="仿宋" w:hAnsi="仿宋"/>
                <w:b/>
                <w:kern w:val="0"/>
                <w:sz w:val="24"/>
                <w:szCs w:val="24"/>
                <w:u w:val="wave"/>
              </w:rPr>
            </w:pPr>
            <w:r>
              <w:rPr>
                <w:rFonts w:ascii="仿宋" w:eastAsia="仿宋" w:hAnsi="仿宋" w:hint="eastAsia"/>
                <w:b/>
                <w:kern w:val="0"/>
                <w:sz w:val="24"/>
                <w:szCs w:val="24"/>
              </w:rPr>
              <w:t>提前终止条款及延期</w:t>
            </w:r>
            <w:r>
              <w:rPr>
                <w:rFonts w:ascii="仿宋" w:eastAsia="仿宋" w:hAnsi="仿宋"/>
                <w:b/>
                <w:kern w:val="0"/>
                <w:sz w:val="24"/>
                <w:szCs w:val="24"/>
              </w:rPr>
              <w:t>条款</w:t>
            </w:r>
          </w:p>
        </w:tc>
        <w:tc>
          <w:tcPr>
            <w:tcW w:w="8576" w:type="dxa"/>
            <w:gridSpan w:val="7"/>
            <w:vAlign w:val="center"/>
          </w:tcPr>
          <w:p w:rsidR="00CF79FF" w:rsidRDefault="00AB252A">
            <w:pPr>
              <w:spacing w:line="240" w:lineRule="exact"/>
              <w:rPr>
                <w:rFonts w:ascii="仿宋" w:eastAsia="仿宋" w:hAnsi="仿宋"/>
                <w:bCs/>
                <w:szCs w:val="21"/>
              </w:rPr>
            </w:pPr>
            <w:r>
              <w:rPr>
                <w:rFonts w:ascii="仿宋" w:eastAsia="仿宋" w:hAnsi="仿宋" w:hint="eastAsia"/>
                <w:b/>
                <w:szCs w:val="21"/>
              </w:rPr>
              <w:t>1.本产品投资期内，客户无权提前终止本产品。</w:t>
            </w:r>
            <w:r>
              <w:rPr>
                <w:rFonts w:ascii="仿宋" w:eastAsia="仿宋" w:hAnsi="仿宋" w:hint="eastAsia"/>
                <w:bCs/>
                <w:szCs w:val="21"/>
              </w:rPr>
              <w:t>如出现以下情况，天津银行有权但无义务提前终止本理财产品：</w:t>
            </w:r>
          </w:p>
          <w:p w:rsidR="00CF79FF" w:rsidRDefault="00AB252A">
            <w:pPr>
              <w:spacing w:line="240" w:lineRule="exact"/>
              <w:rPr>
                <w:rFonts w:ascii="仿宋" w:eastAsia="仿宋" w:hAnsi="仿宋"/>
                <w:bCs/>
                <w:szCs w:val="21"/>
              </w:rPr>
            </w:pPr>
            <w:r>
              <w:rPr>
                <w:rFonts w:ascii="仿宋" w:eastAsia="仿宋" w:hAnsi="仿宋" w:hint="eastAsia"/>
                <w:bCs/>
                <w:szCs w:val="21"/>
              </w:rPr>
              <w:t>（1）因不可抗力原因导致理财产品无法继续运作；</w:t>
            </w:r>
          </w:p>
          <w:p w:rsidR="00CF79FF" w:rsidRDefault="00AB252A">
            <w:pPr>
              <w:spacing w:line="240" w:lineRule="exact"/>
              <w:rPr>
                <w:rFonts w:ascii="仿宋" w:eastAsia="仿宋" w:hAnsi="仿宋"/>
                <w:bCs/>
                <w:szCs w:val="21"/>
              </w:rPr>
            </w:pPr>
            <w:r>
              <w:rPr>
                <w:rFonts w:ascii="仿宋" w:eastAsia="仿宋" w:hAnsi="仿宋" w:hint="eastAsia"/>
                <w:bCs/>
                <w:szCs w:val="21"/>
              </w:rPr>
              <w:t>（2）</w:t>
            </w:r>
            <w:proofErr w:type="gramStart"/>
            <w:r>
              <w:rPr>
                <w:rFonts w:ascii="仿宋" w:eastAsia="仿宋" w:hAnsi="仿宋" w:hint="eastAsia"/>
                <w:bCs/>
                <w:szCs w:val="21"/>
              </w:rPr>
              <w:t>遇市场</w:t>
            </w:r>
            <w:proofErr w:type="gramEnd"/>
            <w:r>
              <w:rPr>
                <w:rFonts w:ascii="仿宋" w:eastAsia="仿宋" w:hAnsi="仿宋" w:hint="eastAsia"/>
                <w:bCs/>
                <w:szCs w:val="21"/>
              </w:rPr>
              <w:t>出现剧烈波动、异常风险事件等情形导致理财产品收益出现大幅波动或严重影响理财产品的资产安全；</w:t>
            </w:r>
          </w:p>
          <w:p w:rsidR="00CF79FF" w:rsidRDefault="00AB252A">
            <w:pPr>
              <w:spacing w:line="240" w:lineRule="exact"/>
              <w:rPr>
                <w:rFonts w:ascii="仿宋" w:eastAsia="仿宋" w:hAnsi="仿宋"/>
                <w:bCs/>
                <w:szCs w:val="21"/>
              </w:rPr>
            </w:pPr>
            <w:r>
              <w:rPr>
                <w:rFonts w:ascii="仿宋" w:eastAsia="仿宋" w:hAnsi="仿宋" w:hint="eastAsia"/>
                <w:bCs/>
                <w:szCs w:val="21"/>
              </w:rPr>
              <w:t>（3）因客户理财资金被有权机关扣划等原因导致理财产品剩余资产无法满足相关法律法规规定，所投资市场要求或协议等相关法律文件约定，或者继续存续无法实现投资目标；</w:t>
            </w:r>
          </w:p>
          <w:p w:rsidR="00CF79FF" w:rsidRDefault="00AB252A">
            <w:pPr>
              <w:spacing w:line="240" w:lineRule="exact"/>
              <w:rPr>
                <w:rFonts w:ascii="仿宋" w:eastAsia="仿宋" w:hAnsi="仿宋"/>
                <w:bCs/>
                <w:szCs w:val="21"/>
              </w:rPr>
            </w:pPr>
            <w:r>
              <w:rPr>
                <w:rFonts w:ascii="仿宋" w:eastAsia="仿宋" w:hAnsi="仿宋" w:hint="eastAsia"/>
                <w:bCs/>
                <w:szCs w:val="21"/>
              </w:rPr>
              <w:t>（4）因法律法规变化或国家金融政策调整，影响本产品继续正常运作；</w:t>
            </w:r>
          </w:p>
          <w:p w:rsidR="00CF79FF" w:rsidRDefault="00AB252A">
            <w:pPr>
              <w:spacing w:line="240" w:lineRule="exact"/>
              <w:rPr>
                <w:rFonts w:ascii="仿宋" w:eastAsia="仿宋" w:hAnsi="仿宋"/>
                <w:bCs/>
                <w:szCs w:val="21"/>
              </w:rPr>
            </w:pPr>
            <w:r>
              <w:rPr>
                <w:rFonts w:ascii="仿宋" w:eastAsia="仿宋" w:hAnsi="仿宋" w:hint="eastAsia"/>
                <w:bCs/>
                <w:szCs w:val="21"/>
              </w:rPr>
              <w:t>（5）理财资金所投资的金融资产或金融工具提前终止；</w:t>
            </w:r>
          </w:p>
          <w:p w:rsidR="00CF79FF" w:rsidRDefault="00AB252A">
            <w:pPr>
              <w:spacing w:line="240" w:lineRule="exact"/>
              <w:rPr>
                <w:rFonts w:ascii="仿宋" w:eastAsia="仿宋" w:hAnsi="仿宋"/>
                <w:bCs/>
                <w:szCs w:val="21"/>
              </w:rPr>
            </w:pPr>
            <w:r>
              <w:rPr>
                <w:rFonts w:ascii="仿宋" w:eastAsia="仿宋" w:hAnsi="仿宋" w:hint="eastAsia"/>
                <w:bCs/>
                <w:szCs w:val="21"/>
              </w:rPr>
              <w:t>（6）提前终止产品比维持产品运作更有利于保护产品持有人的权益；</w:t>
            </w:r>
          </w:p>
          <w:p w:rsidR="00CF79FF" w:rsidRDefault="00AB252A">
            <w:pPr>
              <w:spacing w:line="240" w:lineRule="exact"/>
              <w:rPr>
                <w:rFonts w:ascii="仿宋" w:eastAsia="仿宋" w:hAnsi="仿宋"/>
                <w:bCs/>
                <w:szCs w:val="21"/>
              </w:rPr>
            </w:pPr>
            <w:r>
              <w:rPr>
                <w:rFonts w:ascii="仿宋" w:eastAsia="仿宋" w:hAnsi="仿宋" w:hint="eastAsia"/>
                <w:bCs/>
                <w:szCs w:val="21"/>
              </w:rPr>
              <w:t>（7）法律法规规定的其他情形。</w:t>
            </w:r>
          </w:p>
          <w:p w:rsidR="00CF79FF" w:rsidRDefault="00AB252A">
            <w:pPr>
              <w:spacing w:line="240" w:lineRule="exact"/>
              <w:rPr>
                <w:rFonts w:ascii="仿宋" w:eastAsia="仿宋" w:hAnsi="仿宋"/>
                <w:b/>
                <w:bCs/>
                <w:szCs w:val="21"/>
              </w:rPr>
            </w:pPr>
            <w:r>
              <w:rPr>
                <w:rFonts w:ascii="仿宋" w:eastAsia="仿宋" w:hAnsi="仿宋" w:hint="eastAsia"/>
                <w:b/>
                <w:bCs/>
                <w:szCs w:val="21"/>
              </w:rPr>
              <w:lastRenderedPageBreak/>
              <w:t>2. 如出现以下</w:t>
            </w:r>
            <w:r>
              <w:rPr>
                <w:rFonts w:ascii="仿宋" w:eastAsia="仿宋" w:hAnsi="仿宋"/>
                <w:b/>
                <w:bCs/>
                <w:szCs w:val="21"/>
              </w:rPr>
              <w:t>情况，天津银行有权延长本产品的终止日：</w:t>
            </w:r>
          </w:p>
          <w:p w:rsidR="00CF79FF" w:rsidRDefault="00AB252A">
            <w:pPr>
              <w:spacing w:line="240" w:lineRule="exact"/>
              <w:rPr>
                <w:rFonts w:ascii="仿宋" w:eastAsia="仿宋" w:hAnsi="仿宋"/>
                <w:bCs/>
                <w:szCs w:val="21"/>
              </w:rPr>
            </w:pPr>
            <w:r>
              <w:rPr>
                <w:rFonts w:ascii="仿宋" w:eastAsia="仿宋" w:hAnsi="仿宋" w:hint="eastAsia"/>
                <w:bCs/>
                <w:szCs w:val="21"/>
              </w:rPr>
              <w:t>（1</w:t>
            </w:r>
            <w:r>
              <w:rPr>
                <w:rFonts w:ascii="仿宋" w:eastAsia="仿宋" w:hAnsi="仿宋"/>
                <w:bCs/>
                <w:szCs w:val="21"/>
              </w:rPr>
              <w:t>）</w:t>
            </w:r>
            <w:r>
              <w:rPr>
                <w:rFonts w:ascii="仿宋" w:eastAsia="仿宋" w:hAnsi="仿宋" w:hint="eastAsia"/>
                <w:bCs/>
                <w:szCs w:val="21"/>
              </w:rPr>
              <w:t>产品</w:t>
            </w:r>
            <w:r>
              <w:rPr>
                <w:rFonts w:ascii="仿宋" w:eastAsia="仿宋" w:hAnsi="仿宋"/>
                <w:bCs/>
                <w:szCs w:val="21"/>
              </w:rPr>
              <w:t>终止</w:t>
            </w:r>
            <w:proofErr w:type="gramStart"/>
            <w:r>
              <w:rPr>
                <w:rFonts w:ascii="仿宋" w:eastAsia="仿宋" w:hAnsi="仿宋"/>
                <w:bCs/>
                <w:szCs w:val="21"/>
              </w:rPr>
              <w:t>日遇</w:t>
            </w:r>
            <w:r>
              <w:rPr>
                <w:rFonts w:ascii="仿宋" w:eastAsia="仿宋" w:hAnsi="仿宋" w:hint="eastAsia"/>
                <w:bCs/>
                <w:szCs w:val="21"/>
              </w:rPr>
              <w:t>非工作日</w:t>
            </w:r>
            <w:proofErr w:type="gramEnd"/>
            <w:r>
              <w:rPr>
                <w:rFonts w:ascii="仿宋" w:eastAsia="仿宋" w:hAnsi="仿宋"/>
                <w:bCs/>
                <w:szCs w:val="21"/>
              </w:rPr>
              <w:t>则顺延至下一工作日，客户清算资金到账</w:t>
            </w:r>
            <w:r>
              <w:rPr>
                <w:rFonts w:ascii="仿宋" w:eastAsia="仿宋" w:hAnsi="仿宋" w:hint="eastAsia"/>
                <w:bCs/>
                <w:szCs w:val="21"/>
              </w:rPr>
              <w:t>日</w:t>
            </w:r>
            <w:r>
              <w:rPr>
                <w:rFonts w:ascii="仿宋" w:eastAsia="仿宋" w:hAnsi="仿宋"/>
                <w:bCs/>
                <w:szCs w:val="21"/>
              </w:rPr>
              <w:t>将相应调整；</w:t>
            </w:r>
          </w:p>
          <w:p w:rsidR="00CF79FF" w:rsidRDefault="00AB252A">
            <w:pPr>
              <w:spacing w:line="240" w:lineRule="exact"/>
              <w:rPr>
                <w:rFonts w:ascii="仿宋" w:eastAsia="仿宋" w:hAnsi="仿宋"/>
                <w:bCs/>
                <w:szCs w:val="21"/>
              </w:rPr>
            </w:pPr>
            <w:r>
              <w:rPr>
                <w:rFonts w:ascii="仿宋" w:eastAsia="仿宋" w:hAnsi="仿宋" w:hint="eastAsia"/>
                <w:bCs/>
                <w:szCs w:val="21"/>
              </w:rPr>
              <w:t>（2</w:t>
            </w:r>
            <w:r>
              <w:rPr>
                <w:rFonts w:ascii="仿宋" w:eastAsia="仿宋" w:hAnsi="仿宋"/>
                <w:bCs/>
                <w:szCs w:val="21"/>
              </w:rPr>
              <w:t>）</w:t>
            </w:r>
            <w:r>
              <w:rPr>
                <w:rFonts w:ascii="仿宋" w:eastAsia="仿宋" w:hAnsi="仿宋" w:hint="eastAsia"/>
                <w:bCs/>
                <w:szCs w:val="21"/>
              </w:rPr>
              <w:t>因市场</w:t>
            </w:r>
            <w:r>
              <w:rPr>
                <w:rFonts w:ascii="仿宋" w:eastAsia="仿宋" w:hAnsi="仿宋"/>
                <w:bCs/>
                <w:szCs w:val="21"/>
              </w:rPr>
              <w:t>成交量不足、资产</w:t>
            </w:r>
            <w:r>
              <w:rPr>
                <w:rFonts w:ascii="仿宋" w:eastAsia="仿宋" w:hAnsi="仿宋" w:hint="eastAsia"/>
                <w:bCs/>
                <w:szCs w:val="21"/>
              </w:rPr>
              <w:t>限制</w:t>
            </w:r>
            <w:r>
              <w:rPr>
                <w:rFonts w:ascii="仿宋" w:eastAsia="仿宋" w:hAnsi="仿宋"/>
                <w:bCs/>
                <w:szCs w:val="21"/>
              </w:rPr>
              <w:t>赎回、暂停交易、缺乏</w:t>
            </w:r>
            <w:r>
              <w:rPr>
                <w:rFonts w:ascii="仿宋" w:eastAsia="仿宋" w:hAnsi="仿宋" w:hint="eastAsia"/>
                <w:bCs/>
                <w:szCs w:val="21"/>
              </w:rPr>
              <w:t>意愿</w:t>
            </w:r>
            <w:r>
              <w:rPr>
                <w:rFonts w:ascii="仿宋" w:eastAsia="仿宋" w:hAnsi="仿宋"/>
                <w:bCs/>
                <w:szCs w:val="21"/>
              </w:rPr>
              <w:t>交易对手等原因，导致产品项下对应的投资标的无法及时变现；</w:t>
            </w:r>
          </w:p>
          <w:p w:rsidR="00CF79FF" w:rsidRDefault="00AB252A">
            <w:pPr>
              <w:spacing w:line="240" w:lineRule="exact"/>
              <w:rPr>
                <w:rFonts w:ascii="仿宋" w:eastAsia="仿宋" w:hAnsi="仿宋"/>
                <w:bCs/>
                <w:szCs w:val="21"/>
              </w:rPr>
            </w:pPr>
            <w:r>
              <w:rPr>
                <w:rFonts w:ascii="仿宋" w:eastAsia="仿宋" w:hAnsi="仿宋" w:hint="eastAsia"/>
                <w:bCs/>
                <w:szCs w:val="21"/>
              </w:rPr>
              <w:t>（3</w:t>
            </w:r>
            <w:r>
              <w:rPr>
                <w:rFonts w:ascii="仿宋" w:eastAsia="仿宋" w:hAnsi="仿宋"/>
                <w:bCs/>
                <w:szCs w:val="21"/>
              </w:rPr>
              <w:t>）</w:t>
            </w:r>
            <w:r>
              <w:rPr>
                <w:rFonts w:ascii="仿宋" w:eastAsia="仿宋" w:hAnsi="仿宋" w:hint="eastAsia"/>
                <w:bCs/>
                <w:szCs w:val="21"/>
              </w:rPr>
              <w:t>因资金</w:t>
            </w:r>
            <w:r>
              <w:rPr>
                <w:rFonts w:ascii="仿宋" w:eastAsia="仿宋" w:hAnsi="仿宋"/>
                <w:bCs/>
                <w:szCs w:val="21"/>
              </w:rPr>
              <w:t>在途等原因，导致未能及时收回资金；</w:t>
            </w:r>
          </w:p>
          <w:p w:rsidR="00CF79FF" w:rsidRDefault="00AB252A">
            <w:pPr>
              <w:spacing w:line="240" w:lineRule="exact"/>
              <w:rPr>
                <w:rFonts w:ascii="仿宋" w:eastAsia="仿宋" w:hAnsi="仿宋"/>
                <w:bCs/>
                <w:szCs w:val="21"/>
              </w:rPr>
            </w:pPr>
            <w:r>
              <w:rPr>
                <w:rFonts w:ascii="仿宋" w:eastAsia="仿宋" w:hAnsi="仿宋" w:hint="eastAsia"/>
                <w:bCs/>
                <w:szCs w:val="21"/>
              </w:rPr>
              <w:t>（4</w:t>
            </w:r>
            <w:r>
              <w:rPr>
                <w:rFonts w:ascii="仿宋" w:eastAsia="仿宋" w:hAnsi="仿宋"/>
                <w:bCs/>
                <w:szCs w:val="21"/>
              </w:rPr>
              <w:t>）</w:t>
            </w:r>
            <w:r>
              <w:rPr>
                <w:rFonts w:ascii="仿宋" w:eastAsia="仿宋" w:hAnsi="仿宋" w:hint="eastAsia"/>
                <w:bCs/>
                <w:szCs w:val="21"/>
              </w:rPr>
              <w:t>其他</w:t>
            </w:r>
            <w:r>
              <w:rPr>
                <w:rFonts w:ascii="仿宋" w:eastAsia="仿宋" w:hAnsi="仿宋"/>
                <w:bCs/>
                <w:szCs w:val="21"/>
              </w:rPr>
              <w:t>天津银行认为需要延期兑付的情形。</w:t>
            </w:r>
          </w:p>
          <w:p w:rsidR="00CF79FF" w:rsidRDefault="00AB252A">
            <w:pPr>
              <w:spacing w:line="360" w:lineRule="exact"/>
              <w:rPr>
                <w:rFonts w:ascii="仿宋" w:eastAsia="仿宋" w:hAnsi="仿宋"/>
                <w:bCs/>
                <w:szCs w:val="21"/>
              </w:rPr>
            </w:pPr>
            <w:r>
              <w:rPr>
                <w:rFonts w:ascii="仿宋" w:eastAsia="仿宋" w:hAnsi="仿宋"/>
                <w:bCs/>
                <w:szCs w:val="21"/>
              </w:rPr>
              <w:t>3.</w:t>
            </w:r>
            <w:r>
              <w:rPr>
                <w:rFonts w:hint="eastAsia"/>
              </w:rPr>
              <w:t xml:space="preserve"> </w:t>
            </w:r>
            <w:r>
              <w:rPr>
                <w:rFonts w:ascii="仿宋" w:eastAsia="仿宋" w:hAnsi="仿宋" w:hint="eastAsia"/>
                <w:bCs/>
                <w:szCs w:val="21"/>
              </w:rPr>
              <w:t>一旦天津银行提前终止/延期本理财产品，将提前2个工作日以公告形式通知客户，并在提前终止日/延期</w:t>
            </w:r>
            <w:r>
              <w:rPr>
                <w:rFonts w:ascii="仿宋" w:eastAsia="仿宋" w:hAnsi="仿宋"/>
                <w:bCs/>
                <w:szCs w:val="21"/>
              </w:rPr>
              <w:t>到期日</w:t>
            </w:r>
            <w:r>
              <w:rPr>
                <w:rFonts w:ascii="仿宋" w:eastAsia="仿宋" w:hAnsi="仿宋" w:hint="eastAsia"/>
                <w:bCs/>
                <w:szCs w:val="21"/>
              </w:rPr>
              <w:t>后2个工作日内（遇节假日顺延至下一工作日）向客户返还理财本金及应得收益（如有），应得收益按实际理财期限计算（已扣除销售手续费、投资管理费、托管费、产品运营管理费，提前终止产品情况下，以上费用计算方式不变，已扣除的费用不再返还至客户）。</w:t>
            </w:r>
          </w:p>
        </w:tc>
      </w:tr>
      <w:tr w:rsidR="00CF79FF">
        <w:trPr>
          <w:trHeight w:val="1840"/>
        </w:trPr>
        <w:tc>
          <w:tcPr>
            <w:tcW w:w="1909" w:type="dxa"/>
            <w:vAlign w:val="center"/>
          </w:tcPr>
          <w:p w:rsidR="00CF79FF" w:rsidRDefault="00AB252A">
            <w:pPr>
              <w:jc w:val="center"/>
              <w:rPr>
                <w:rFonts w:ascii="仿宋" w:eastAsia="仿宋" w:hAnsi="仿宋"/>
                <w:b/>
                <w:kern w:val="0"/>
                <w:sz w:val="24"/>
                <w:szCs w:val="24"/>
              </w:rPr>
            </w:pPr>
            <w:r>
              <w:rPr>
                <w:rFonts w:ascii="仿宋" w:eastAsia="仿宋" w:hAnsi="仿宋" w:hint="eastAsia"/>
                <w:b/>
                <w:kern w:val="0"/>
                <w:sz w:val="24"/>
                <w:szCs w:val="24"/>
              </w:rPr>
              <w:lastRenderedPageBreak/>
              <w:t>信息披露</w:t>
            </w:r>
          </w:p>
        </w:tc>
        <w:tc>
          <w:tcPr>
            <w:tcW w:w="8576" w:type="dxa"/>
            <w:gridSpan w:val="7"/>
            <w:vAlign w:val="center"/>
          </w:tcPr>
          <w:p w:rsidR="00CF79FF" w:rsidRDefault="00AB252A">
            <w:pPr>
              <w:spacing w:line="360" w:lineRule="exact"/>
              <w:rPr>
                <w:rFonts w:ascii="仿宋" w:eastAsia="仿宋" w:hAnsi="仿宋"/>
                <w:bCs/>
                <w:szCs w:val="21"/>
              </w:rPr>
            </w:pPr>
            <w:r>
              <w:rPr>
                <w:rFonts w:ascii="仿宋" w:eastAsia="仿宋" w:hAnsi="仿宋" w:hint="eastAsia"/>
                <w:bCs/>
                <w:szCs w:val="21"/>
              </w:rPr>
              <w:t>1.发行及到期公告：天津银行将最迟于产品成立日/产品到期日后5个工作日内，通过官方网站或营业网点等渠道公布产品发行公告/产品到期公告。</w:t>
            </w:r>
          </w:p>
          <w:p w:rsidR="00CF79FF" w:rsidRDefault="00AB252A">
            <w:pPr>
              <w:spacing w:line="360" w:lineRule="exact"/>
              <w:rPr>
                <w:rFonts w:ascii="仿宋" w:eastAsia="仿宋" w:hAnsi="仿宋"/>
                <w:bCs/>
                <w:szCs w:val="21"/>
              </w:rPr>
            </w:pPr>
            <w:r>
              <w:rPr>
                <w:rFonts w:ascii="仿宋" w:eastAsia="仿宋" w:hAnsi="仿宋" w:hint="eastAsia"/>
                <w:bCs/>
                <w:szCs w:val="21"/>
              </w:rPr>
              <w:t>2.定期报告：天津银行在每季度结束之日起15日内，上半年结束之日起60日内、每年结束之日起90日内，编制完成产品季度、半年和年度报告等定期报告，在天津银行官方网站进行公告。理财产品成立不足90日或者剩余期限不超过90日的，可以不编制理财产品当期的季度、半年和年度报告。</w:t>
            </w:r>
          </w:p>
          <w:p w:rsidR="00CF79FF" w:rsidRDefault="00AB252A">
            <w:pPr>
              <w:spacing w:line="360" w:lineRule="exact"/>
              <w:rPr>
                <w:rFonts w:ascii="仿宋" w:eastAsia="仿宋" w:hAnsi="仿宋"/>
                <w:bCs/>
                <w:szCs w:val="21"/>
              </w:rPr>
            </w:pPr>
            <w:r>
              <w:rPr>
                <w:rFonts w:ascii="仿宋" w:eastAsia="仿宋" w:hAnsi="仿宋" w:hint="eastAsia"/>
                <w:bCs/>
                <w:szCs w:val="21"/>
              </w:rPr>
              <w:t>3.天津银行将通过官方网站、手机</w:t>
            </w:r>
            <w:r>
              <w:rPr>
                <w:rFonts w:ascii="仿宋" w:eastAsia="仿宋" w:hAnsi="仿宋"/>
                <w:bCs/>
                <w:szCs w:val="21"/>
              </w:rPr>
              <w:t>银行、</w:t>
            </w:r>
            <w:proofErr w:type="gramStart"/>
            <w:r>
              <w:rPr>
                <w:rFonts w:ascii="仿宋" w:eastAsia="仿宋" w:hAnsi="仿宋" w:hint="eastAsia"/>
                <w:bCs/>
                <w:szCs w:val="21"/>
              </w:rPr>
              <w:t>网银或</w:t>
            </w:r>
            <w:proofErr w:type="gramEnd"/>
            <w:r>
              <w:rPr>
                <w:rFonts w:ascii="仿宋" w:eastAsia="仿宋" w:hAnsi="仿宋" w:hint="eastAsia"/>
                <w:bCs/>
                <w:szCs w:val="21"/>
              </w:rPr>
              <w:t>其他天津银行认为适当的方式披露投资者持有的理财产品份额、认购金额、份额净值、份额累计净值、资产净值、收益情况、理财交易账户发生的交易明细等信息。</w:t>
            </w:r>
          </w:p>
          <w:p w:rsidR="00CF79FF" w:rsidRDefault="00AB252A">
            <w:pPr>
              <w:spacing w:line="360" w:lineRule="exact"/>
              <w:rPr>
                <w:rFonts w:ascii="仿宋" w:eastAsia="仿宋" w:hAnsi="仿宋"/>
                <w:bCs/>
                <w:szCs w:val="21"/>
              </w:rPr>
            </w:pPr>
            <w:r>
              <w:rPr>
                <w:rFonts w:ascii="仿宋" w:eastAsia="仿宋" w:hAnsi="仿宋" w:hint="eastAsia"/>
                <w:bCs/>
                <w:szCs w:val="21"/>
              </w:rPr>
              <w:t>4.重大事项公告：在产品重大事项发生后的2个工作日内通过官方网站或营业网点发布重大事项公告。产品重大事项包括但不限于如下事件：</w:t>
            </w:r>
          </w:p>
          <w:p w:rsidR="00CF79FF" w:rsidRDefault="00AB252A">
            <w:pPr>
              <w:spacing w:line="360" w:lineRule="exact"/>
              <w:rPr>
                <w:rFonts w:ascii="仿宋" w:eastAsia="仿宋" w:hAnsi="仿宋"/>
                <w:bCs/>
                <w:szCs w:val="21"/>
              </w:rPr>
            </w:pPr>
            <w:r>
              <w:rPr>
                <w:rFonts w:ascii="仿宋" w:eastAsia="仿宋" w:hAnsi="仿宋" w:hint="eastAsia"/>
                <w:bCs/>
                <w:szCs w:val="21"/>
              </w:rPr>
              <w:t>（1）理财产品所投资资产对投资者权益或投资收益等产生重大影响的突发事件；</w:t>
            </w:r>
          </w:p>
          <w:p w:rsidR="00CF79FF" w:rsidRDefault="00AB252A">
            <w:pPr>
              <w:spacing w:line="360" w:lineRule="exact"/>
              <w:rPr>
                <w:rFonts w:ascii="仿宋" w:eastAsia="仿宋" w:hAnsi="仿宋"/>
                <w:bCs/>
                <w:szCs w:val="21"/>
              </w:rPr>
            </w:pPr>
            <w:r>
              <w:rPr>
                <w:rFonts w:ascii="仿宋" w:eastAsia="仿宋" w:hAnsi="仿宋" w:hint="eastAsia"/>
                <w:bCs/>
                <w:szCs w:val="21"/>
              </w:rPr>
              <w:t>（2）金融市场发生重大变化导致理财产品投资比例暂时超出浮动区间且可能对理财产品收益产生重大影响的。</w:t>
            </w:r>
          </w:p>
          <w:p w:rsidR="00CF79FF" w:rsidRDefault="00AB252A">
            <w:pPr>
              <w:spacing w:line="360" w:lineRule="exact"/>
              <w:rPr>
                <w:rFonts w:ascii="仿宋" w:eastAsia="仿宋" w:hAnsi="仿宋"/>
                <w:bCs/>
                <w:szCs w:val="21"/>
              </w:rPr>
            </w:pPr>
            <w:r>
              <w:rPr>
                <w:rFonts w:ascii="仿宋" w:eastAsia="仿宋" w:hAnsi="仿宋" w:hint="eastAsia"/>
                <w:bCs/>
                <w:szCs w:val="21"/>
              </w:rPr>
              <w:t>5.临时性信息披露，包括但不限于如下事件：</w:t>
            </w:r>
          </w:p>
          <w:p w:rsidR="00CF79FF" w:rsidRDefault="00AB252A">
            <w:pPr>
              <w:spacing w:line="360" w:lineRule="exact"/>
              <w:rPr>
                <w:rFonts w:ascii="仿宋" w:eastAsia="仿宋" w:hAnsi="仿宋"/>
                <w:bCs/>
                <w:szCs w:val="21"/>
              </w:rPr>
            </w:pPr>
            <w:r>
              <w:rPr>
                <w:rFonts w:ascii="仿宋" w:eastAsia="仿宋" w:hAnsi="仿宋" w:hint="eastAsia"/>
                <w:bCs/>
                <w:szCs w:val="21"/>
              </w:rPr>
              <w:t>（1）如本产品需延期清算，将最迟于到期日后5个工作日内在官方网站或营业网点等渠道发布相关信息公告。</w:t>
            </w:r>
          </w:p>
          <w:p w:rsidR="00CF79FF" w:rsidRDefault="00AB252A">
            <w:pPr>
              <w:spacing w:line="360" w:lineRule="exact"/>
              <w:rPr>
                <w:rFonts w:ascii="仿宋" w:eastAsia="仿宋" w:hAnsi="仿宋"/>
                <w:bCs/>
                <w:szCs w:val="21"/>
              </w:rPr>
            </w:pPr>
            <w:r>
              <w:rPr>
                <w:rFonts w:ascii="仿宋" w:eastAsia="仿宋" w:hAnsi="仿宋" w:hint="eastAsia"/>
                <w:bCs/>
                <w:szCs w:val="21"/>
              </w:rPr>
              <w:t>（2）产品存续期间，天津银行如对本理财合同条款进行补充、说明及修订，将提前2个工作日通过官方网站或营业网点予以披露，投资者应定期通过上述渠道获知有关本理财产品相关信息。</w:t>
            </w:r>
          </w:p>
          <w:p w:rsidR="00CF79FF" w:rsidRDefault="00AB252A">
            <w:pPr>
              <w:spacing w:line="360" w:lineRule="exact"/>
              <w:rPr>
                <w:rFonts w:ascii="仿宋" w:eastAsia="仿宋" w:hAnsi="仿宋"/>
                <w:bCs/>
                <w:szCs w:val="21"/>
              </w:rPr>
            </w:pPr>
            <w:r>
              <w:rPr>
                <w:rFonts w:ascii="仿宋" w:eastAsia="仿宋" w:hAnsi="仿宋" w:hint="eastAsia"/>
                <w:bCs/>
                <w:szCs w:val="21"/>
              </w:rPr>
              <w:t>6.客户不得利用金融产品和服务从事违法活动。</w:t>
            </w:r>
          </w:p>
          <w:p w:rsidR="00CF79FF" w:rsidRDefault="00AB252A">
            <w:pPr>
              <w:spacing w:line="360" w:lineRule="exact"/>
              <w:rPr>
                <w:rFonts w:ascii="仿宋" w:eastAsia="仿宋" w:hAnsi="仿宋"/>
                <w:bCs/>
                <w:szCs w:val="21"/>
              </w:rPr>
            </w:pPr>
            <w:r>
              <w:rPr>
                <w:rFonts w:ascii="仿宋" w:eastAsia="仿宋" w:hAnsi="仿宋" w:hint="eastAsia"/>
                <w:bCs/>
                <w:szCs w:val="21"/>
              </w:rPr>
              <w:t>7.客户如对本产品有任何建议、意见或投诉，请拨打我行2</w:t>
            </w:r>
            <w:r>
              <w:rPr>
                <w:rFonts w:ascii="仿宋" w:eastAsia="仿宋" w:hAnsi="仿宋"/>
                <w:bCs/>
                <w:szCs w:val="21"/>
              </w:rPr>
              <w:t>4</w:t>
            </w:r>
            <w:r>
              <w:rPr>
                <w:rFonts w:ascii="仿宋" w:eastAsia="仿宋" w:hAnsi="仿宋" w:hint="eastAsia"/>
                <w:bCs/>
                <w:szCs w:val="21"/>
              </w:rPr>
              <w:t>小时客户服务热线956056咨询。</w:t>
            </w:r>
          </w:p>
        </w:tc>
      </w:tr>
      <w:tr w:rsidR="00CF79FF">
        <w:trPr>
          <w:trHeight w:val="7078"/>
        </w:trPr>
        <w:tc>
          <w:tcPr>
            <w:tcW w:w="1909" w:type="dxa"/>
            <w:vAlign w:val="center"/>
          </w:tcPr>
          <w:p w:rsidR="00CF79FF" w:rsidRDefault="00AB252A">
            <w:pPr>
              <w:jc w:val="center"/>
              <w:rPr>
                <w:rFonts w:ascii="仿宋" w:eastAsia="仿宋" w:hAnsi="仿宋"/>
                <w:b/>
                <w:bCs/>
                <w:sz w:val="24"/>
                <w:szCs w:val="24"/>
              </w:rPr>
            </w:pPr>
            <w:r>
              <w:rPr>
                <w:rFonts w:ascii="仿宋" w:eastAsia="仿宋" w:hAnsi="仿宋" w:hint="eastAsia"/>
                <w:b/>
                <w:bCs/>
                <w:sz w:val="24"/>
                <w:szCs w:val="24"/>
              </w:rPr>
              <w:lastRenderedPageBreak/>
              <w:t>特别提示</w:t>
            </w:r>
          </w:p>
        </w:tc>
        <w:tc>
          <w:tcPr>
            <w:tcW w:w="8576" w:type="dxa"/>
            <w:gridSpan w:val="7"/>
            <w:vAlign w:val="center"/>
          </w:tcPr>
          <w:p w:rsidR="00CF79FF" w:rsidRDefault="00AB252A">
            <w:pPr>
              <w:spacing w:line="360" w:lineRule="exact"/>
              <w:jc w:val="left"/>
              <w:rPr>
                <w:rFonts w:ascii="仿宋" w:eastAsia="仿宋" w:hAnsi="仿宋"/>
                <w:b/>
                <w:szCs w:val="21"/>
              </w:rPr>
            </w:pPr>
            <w:r>
              <w:rPr>
                <w:rFonts w:ascii="仿宋" w:eastAsia="仿宋" w:hAnsi="仿宋" w:hint="eastAsia"/>
                <w:b/>
                <w:szCs w:val="21"/>
              </w:rPr>
              <w:t>1.根据中国人民银行、中国银行保险监督管理委员会、中国证券监督管理委员会、国家外汇管理局联合发布的《关于规范金融机构资产管理业务的指导意见》第四条“资产管理产品按照投资性质的不同，分为固定收益类产品、权益类产品、商品及金融衍生品类产品和混合类产品。固定收益类产品投资于存款、债券等债权类资产的比例不低于8</w:t>
            </w:r>
            <w:r>
              <w:rPr>
                <w:rFonts w:ascii="仿宋" w:eastAsia="仿宋" w:hAnsi="仿宋"/>
                <w:b/>
                <w:szCs w:val="21"/>
              </w:rPr>
              <w:t>0%</w:t>
            </w:r>
            <w:r>
              <w:rPr>
                <w:rFonts w:ascii="仿宋" w:eastAsia="仿宋" w:hAnsi="仿宋" w:hint="eastAsia"/>
                <w:b/>
                <w:szCs w:val="21"/>
              </w:rPr>
              <w:t>，权益类产品投资于股票、未上市企业股权等权益类资产的比例不低于8</w:t>
            </w:r>
            <w:r>
              <w:rPr>
                <w:rFonts w:ascii="仿宋" w:eastAsia="仿宋" w:hAnsi="仿宋"/>
                <w:b/>
                <w:szCs w:val="21"/>
              </w:rPr>
              <w:t>0%</w:t>
            </w:r>
            <w:r>
              <w:rPr>
                <w:rFonts w:ascii="仿宋" w:eastAsia="仿宋" w:hAnsi="仿宋" w:hint="eastAsia"/>
                <w:b/>
                <w:szCs w:val="21"/>
              </w:rPr>
              <w:t>，商品及金融衍生品类产品投资于商品及金融衍生品的比例不低于8</w:t>
            </w:r>
            <w:r>
              <w:rPr>
                <w:rFonts w:ascii="仿宋" w:eastAsia="仿宋" w:hAnsi="仿宋"/>
                <w:b/>
                <w:szCs w:val="21"/>
              </w:rPr>
              <w:t>0%</w:t>
            </w:r>
            <w:r>
              <w:rPr>
                <w:rFonts w:ascii="仿宋" w:eastAsia="仿宋" w:hAnsi="仿宋" w:hint="eastAsia"/>
                <w:b/>
                <w:szCs w:val="21"/>
              </w:rPr>
              <w:t>，混合类产品投资于债权类资产、权益类资产、商品及金融衍生品类资产且任一资产的投资比例未达到前三类产品标准。”。据此，本产品属于固定收益类理财产品。</w:t>
            </w:r>
          </w:p>
          <w:p w:rsidR="00CF79FF" w:rsidRDefault="00AB252A">
            <w:pPr>
              <w:spacing w:line="360" w:lineRule="exact"/>
              <w:jc w:val="left"/>
              <w:rPr>
                <w:rFonts w:ascii="仿宋" w:eastAsia="仿宋" w:hAnsi="仿宋"/>
                <w:b/>
                <w:szCs w:val="21"/>
              </w:rPr>
            </w:pPr>
            <w:r>
              <w:rPr>
                <w:rFonts w:ascii="仿宋" w:eastAsia="仿宋" w:hAnsi="仿宋" w:hint="eastAsia"/>
                <w:b/>
                <w:szCs w:val="21"/>
              </w:rPr>
              <w:t>2</w:t>
            </w:r>
            <w:r>
              <w:rPr>
                <w:rFonts w:ascii="仿宋" w:eastAsia="仿宋" w:hAnsi="仿宋"/>
                <w:b/>
                <w:szCs w:val="21"/>
              </w:rPr>
              <w:t>.</w:t>
            </w:r>
            <w:r>
              <w:rPr>
                <w:rFonts w:ascii="仿宋" w:eastAsia="仿宋" w:hAnsi="仿宋" w:hint="eastAsia"/>
                <w:b/>
                <w:szCs w:val="21"/>
              </w:rPr>
              <w:t>本产品业绩比较基准仅供客户参考，并不作为天津银行向客户支付本产品收益的承诺；客户所能获得的最终收益以投资理财产品最终清算的客户可得收益为准。理财产品过往业绩不代表其未来表现，不等于理财产品实际收益，投资须谨慎。客户在投资前，请仔细阅读本产品说明书，并</w:t>
            </w:r>
            <w:proofErr w:type="gramStart"/>
            <w:r>
              <w:rPr>
                <w:rFonts w:ascii="仿宋" w:eastAsia="仿宋" w:hAnsi="仿宋" w:hint="eastAsia"/>
                <w:b/>
                <w:szCs w:val="21"/>
              </w:rPr>
              <w:t>作出</w:t>
            </w:r>
            <w:proofErr w:type="gramEnd"/>
            <w:r>
              <w:rPr>
                <w:rFonts w:ascii="仿宋" w:eastAsia="仿宋" w:hAnsi="仿宋" w:hint="eastAsia"/>
                <w:b/>
                <w:szCs w:val="21"/>
              </w:rPr>
              <w:t>独立的投资决策。</w:t>
            </w:r>
          </w:p>
          <w:p w:rsidR="00CF79FF" w:rsidRDefault="00AB252A">
            <w:pPr>
              <w:spacing w:line="360" w:lineRule="exact"/>
              <w:jc w:val="left"/>
              <w:rPr>
                <w:rFonts w:ascii="仿宋" w:eastAsia="仿宋" w:hAnsi="仿宋"/>
                <w:szCs w:val="21"/>
              </w:rPr>
            </w:pPr>
            <w:r>
              <w:rPr>
                <w:rFonts w:ascii="仿宋" w:eastAsia="仿宋" w:hAnsi="仿宋"/>
                <w:szCs w:val="21"/>
              </w:rPr>
              <w:t>3.</w:t>
            </w:r>
            <w:r>
              <w:rPr>
                <w:rFonts w:ascii="仿宋" w:eastAsia="仿宋" w:hAnsi="仿宋" w:hint="eastAsia"/>
                <w:szCs w:val="21"/>
              </w:rPr>
              <w:t>天津银行将恪守勤勉尽责的原则，合理配置资产组合，为客户提供专业化的理财服务。</w:t>
            </w:r>
          </w:p>
          <w:p w:rsidR="00CF79FF" w:rsidRDefault="00AB252A">
            <w:pPr>
              <w:spacing w:line="360" w:lineRule="exact"/>
              <w:jc w:val="left"/>
              <w:rPr>
                <w:rFonts w:ascii="仿宋" w:eastAsia="仿宋" w:hAnsi="仿宋"/>
                <w:b/>
                <w:szCs w:val="21"/>
              </w:rPr>
            </w:pPr>
            <w:r>
              <w:rPr>
                <w:rFonts w:ascii="仿宋" w:eastAsia="仿宋" w:hAnsi="仿宋"/>
                <w:b/>
                <w:szCs w:val="21"/>
              </w:rPr>
              <w:t>4</w:t>
            </w:r>
            <w:r>
              <w:rPr>
                <w:rFonts w:ascii="仿宋" w:eastAsia="仿宋" w:hAnsi="仿宋" w:hint="eastAsia"/>
                <w:b/>
                <w:szCs w:val="21"/>
              </w:rPr>
              <w:t>.本产品面临的风险包括市场风险、提前终止风险、流动性风险等，将可能导致投资者收益到期蒙受部分或全部损失。由此产生的理财收益损失的风险由投资人自行承担，天津银行不承担任何付息的责任。</w:t>
            </w:r>
          </w:p>
          <w:p w:rsidR="00CF79FF" w:rsidRDefault="00AB252A">
            <w:pPr>
              <w:spacing w:line="360" w:lineRule="exact"/>
              <w:rPr>
                <w:rFonts w:ascii="仿宋" w:eastAsia="仿宋" w:hAnsi="仿宋"/>
                <w:szCs w:val="21"/>
              </w:rPr>
            </w:pPr>
            <w:r>
              <w:rPr>
                <w:rFonts w:ascii="仿宋" w:eastAsia="仿宋" w:hAnsi="仿宋"/>
                <w:szCs w:val="21"/>
              </w:rPr>
              <w:t>5.</w:t>
            </w:r>
            <w:r>
              <w:rPr>
                <w:rFonts w:ascii="仿宋" w:eastAsia="仿宋" w:hAnsi="仿宋" w:hint="eastAsia"/>
                <w:szCs w:val="21"/>
              </w:rPr>
              <w:t xml:space="preserve"> 非保本</w:t>
            </w:r>
            <w:r>
              <w:rPr>
                <w:rFonts w:ascii="仿宋" w:eastAsia="仿宋" w:hAnsi="仿宋"/>
                <w:szCs w:val="21"/>
              </w:rPr>
              <w:t>理财产品不</w:t>
            </w:r>
            <w:r>
              <w:rPr>
                <w:rFonts w:ascii="仿宋" w:eastAsia="仿宋" w:hAnsi="仿宋" w:hint="eastAsia"/>
                <w:szCs w:val="21"/>
              </w:rPr>
              <w:t>保证</w:t>
            </w:r>
            <w:r>
              <w:rPr>
                <w:rFonts w:ascii="仿宋" w:eastAsia="仿宋" w:hAnsi="仿宋"/>
                <w:szCs w:val="21"/>
              </w:rPr>
              <w:t>本金，</w:t>
            </w:r>
            <w:r>
              <w:rPr>
                <w:rFonts w:ascii="仿宋" w:eastAsia="仿宋" w:hAnsi="仿宋" w:hint="eastAsia"/>
                <w:szCs w:val="21"/>
              </w:rPr>
              <w:t>天津银行对非保本理财产品本金不做任何承诺。</w:t>
            </w:r>
          </w:p>
          <w:p w:rsidR="00CF79FF" w:rsidRDefault="00AB252A">
            <w:pPr>
              <w:spacing w:line="360" w:lineRule="exact"/>
              <w:rPr>
                <w:rFonts w:ascii="仿宋" w:eastAsia="仿宋" w:hAnsi="仿宋"/>
                <w:szCs w:val="21"/>
              </w:rPr>
            </w:pPr>
            <w:r>
              <w:rPr>
                <w:rFonts w:ascii="仿宋" w:eastAsia="仿宋" w:hAnsi="仿宋"/>
                <w:szCs w:val="21"/>
              </w:rPr>
              <w:t>6.</w:t>
            </w:r>
            <w:r>
              <w:rPr>
                <w:rFonts w:ascii="仿宋" w:eastAsia="仿宋" w:hAnsi="仿宋" w:hint="eastAsia"/>
                <w:szCs w:val="21"/>
              </w:rPr>
              <w:t>客户应密切关注我行与本产品有关的信息公告，以免造成不必要的损失。</w:t>
            </w:r>
          </w:p>
        </w:tc>
      </w:tr>
    </w:tbl>
    <w:p w:rsidR="00CF79FF" w:rsidRDefault="00CF79FF">
      <w:pPr>
        <w:rPr>
          <w:rFonts w:ascii="仿宋" w:eastAsia="仿宋" w:hAnsi="仿宋"/>
        </w:rPr>
      </w:pPr>
    </w:p>
    <w:p w:rsidR="00CF79FF" w:rsidRDefault="00AB252A">
      <w:pPr>
        <w:spacing w:line="440" w:lineRule="exact"/>
        <w:ind w:right="98"/>
        <w:rPr>
          <w:rFonts w:ascii="仿宋_GB2312" w:eastAsia="仿宋_GB2312"/>
          <w:b/>
          <w:sz w:val="28"/>
          <w:szCs w:val="28"/>
        </w:rPr>
      </w:pPr>
      <w:r>
        <w:rPr>
          <w:rFonts w:ascii="仿宋_GB2312" w:eastAsia="仿宋_GB2312"/>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5477510</wp:posOffset>
                </wp:positionH>
                <wp:positionV relativeFrom="paragraph">
                  <wp:posOffset>272415</wp:posOffset>
                </wp:positionV>
                <wp:extent cx="1104265" cy="0"/>
                <wp:effectExtent l="1016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431.3pt;margin-top:21.45pt;height:0pt;width:86.95pt;z-index:251659264;mso-width-relative:page;mso-height-relative:page;" filled="f" stroked="t" coordsize="21600,21600" o:gfxdata="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reLPYAAAACgEAAA8AAAAAAAAAAQAg&#10;AAAAIgAAAGRycy9kb3ducmV2LnhtbFBLAQIUABQAAAAIAIdO4kBGrHrk1QEAALIDAAAOAAAAAAAA&#10;AAEAIAAAACcBAABkcnMvZTJvRG9jLnhtbFBLBQYAAAAABgAGAFkBAABuBQAAAAA=&#10;">
                <v:fill on="f" focussize="0,0"/>
                <v:stroke color="#000000" joinstyle="round"/>
                <v:imagedata o:title=""/>
                <o:lock v:ext="edit" aspectratio="f"/>
              </v:shape>
            </w:pict>
          </mc:Fallback>
        </mc:AlternateContent>
      </w:r>
      <w:r>
        <w:rPr>
          <w:rFonts w:ascii="仿宋_GB2312" w:eastAsia="仿宋_GB2312" w:hint="eastAsia"/>
          <w:b/>
          <w:sz w:val="28"/>
          <w:szCs w:val="28"/>
        </w:rPr>
        <w:t>□本人已经充分阅读说明书内容，清楚知晓产品全部信息。客户签字：</w:t>
      </w:r>
    </w:p>
    <w:p w:rsidR="00CF79FF" w:rsidRDefault="00CF79FF">
      <w:pPr>
        <w:rPr>
          <w:rFonts w:ascii="仿宋_GB2312" w:eastAsia="仿宋_GB2312"/>
          <w:b/>
          <w:szCs w:val="21"/>
        </w:rPr>
      </w:pPr>
    </w:p>
    <w:p w:rsidR="00CF79FF" w:rsidRDefault="00AB252A">
      <w:pPr>
        <w:rPr>
          <w:rFonts w:ascii="宋体" w:hAnsi="宋体"/>
          <w:b/>
          <w:szCs w:val="21"/>
        </w:rPr>
      </w:pPr>
      <w:r>
        <w:rPr>
          <w:rFonts w:ascii="宋体" w:hAnsi="宋体" w:hint="eastAsia"/>
          <w:b/>
          <w:szCs w:val="21"/>
        </w:rPr>
        <w:t>销售人员:                     日期:     年    月    日</w:t>
      </w:r>
    </w:p>
    <w:sectPr w:rsidR="00CF79FF">
      <w:headerReference w:type="default" r:id="rId9"/>
      <w:footerReference w:type="default" r:id="rId1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AC" w:rsidRDefault="001962AC">
      <w:r>
        <w:separator/>
      </w:r>
    </w:p>
  </w:endnote>
  <w:endnote w:type="continuationSeparator" w:id="0">
    <w:p w:rsidR="001962AC" w:rsidRDefault="0019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eiryo"/>
    <w:charset w:val="80"/>
    <w:family w:val="auto"/>
    <w:pitch w:val="default"/>
    <w:sig w:usb0="00000000" w:usb1="00000000" w:usb2="00000010" w:usb3="00000000" w:csb0="003E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94514"/>
    </w:sdtPr>
    <w:sdtEndPr/>
    <w:sdtContent>
      <w:sdt>
        <w:sdtPr>
          <w:id w:val="1728636285"/>
        </w:sdtPr>
        <w:sdtEndPr/>
        <w:sdtContent>
          <w:p w:rsidR="00CF79FF" w:rsidRDefault="00AB252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52C5">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52C5">
              <w:rPr>
                <w:b/>
                <w:bCs/>
                <w:noProof/>
              </w:rPr>
              <w:t>10</w:t>
            </w:r>
            <w:r>
              <w:rPr>
                <w:b/>
                <w:bCs/>
                <w:sz w:val="24"/>
                <w:szCs w:val="24"/>
              </w:rPr>
              <w:fldChar w:fldCharType="end"/>
            </w:r>
          </w:p>
        </w:sdtContent>
      </w:sdt>
    </w:sdtContent>
  </w:sdt>
  <w:p w:rsidR="00CF79FF" w:rsidRDefault="00AB252A">
    <w:pPr>
      <w:spacing w:line="440" w:lineRule="exact"/>
      <w:ind w:right="-82"/>
      <w:rPr>
        <w:rFonts w:ascii="宋体" w:hAnsi="宋体"/>
        <w:szCs w:val="21"/>
      </w:rPr>
    </w:pPr>
    <w:r>
      <w:rPr>
        <w:rFonts w:ascii="宋体" w:hAnsi="宋体" w:hint="eastAsia"/>
        <w:sz w:val="15"/>
        <w:szCs w:val="15"/>
      </w:rPr>
      <w:t>理财产品销售协议书、产品说明书、风险揭示书及客户权益须知等有关法律文件共同构成完整的理财合同。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AC" w:rsidRDefault="001962AC">
      <w:r>
        <w:separator/>
      </w:r>
    </w:p>
  </w:footnote>
  <w:footnote w:type="continuationSeparator" w:id="0">
    <w:p w:rsidR="001962AC" w:rsidRDefault="0019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9FF" w:rsidRDefault="00AB252A">
    <w:pPr>
      <w:pStyle w:val="a6"/>
      <w:jc w:val="left"/>
    </w:pPr>
    <w:r>
      <w:rPr>
        <w:rFonts w:ascii="仿宋" w:eastAsia="仿宋" w:hAnsi="仿宋"/>
        <w:b/>
        <w:noProof/>
        <w:sz w:val="28"/>
        <w:szCs w:val="28"/>
      </w:rPr>
      <w:drawing>
        <wp:inline distT="0" distB="0" distL="0" distR="0">
          <wp:extent cx="1555750" cy="334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5750" cy="334645"/>
                  </a:xfrm>
                  <a:prstGeom prst="rect">
                    <a:avLst/>
                  </a:prstGeom>
                  <a:noFill/>
                  <a:ln>
                    <a:noFill/>
                  </a:ln>
                </pic:spPr>
              </pic:pic>
            </a:graphicData>
          </a:graphic>
        </wp:inline>
      </w:drawing>
    </w:r>
    <w:r>
      <w:rPr>
        <w:rFonts w:hint="eastAsia"/>
      </w:rPr>
      <w:t xml:space="preserve">                           202</w:t>
    </w:r>
    <w:r>
      <w:t>2</w:t>
    </w:r>
    <w:r>
      <w:rPr>
        <w:rFonts w:hint="eastAsia"/>
      </w:rPr>
      <w:t>年</w:t>
    </w:r>
    <w:r w:rsidR="005563D3">
      <w:rPr>
        <w:rFonts w:hint="eastAsia"/>
      </w:rPr>
      <w:t>4</w:t>
    </w:r>
    <w:r>
      <w:rPr>
        <w:rFonts w:hint="eastAsia"/>
      </w:rPr>
      <w:t>月版本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5F"/>
    <w:rsid w:val="00000845"/>
    <w:rsid w:val="00000DBC"/>
    <w:rsid w:val="00002A90"/>
    <w:rsid w:val="000031BB"/>
    <w:rsid w:val="000068E5"/>
    <w:rsid w:val="00007033"/>
    <w:rsid w:val="000151C8"/>
    <w:rsid w:val="00015E98"/>
    <w:rsid w:val="00020246"/>
    <w:rsid w:val="000223AB"/>
    <w:rsid w:val="000253E5"/>
    <w:rsid w:val="000329A9"/>
    <w:rsid w:val="00033319"/>
    <w:rsid w:val="0003415B"/>
    <w:rsid w:val="00034D38"/>
    <w:rsid w:val="000379B2"/>
    <w:rsid w:val="00037B4D"/>
    <w:rsid w:val="0004081C"/>
    <w:rsid w:val="000426A4"/>
    <w:rsid w:val="0005348C"/>
    <w:rsid w:val="00074C53"/>
    <w:rsid w:val="00076207"/>
    <w:rsid w:val="00077CDB"/>
    <w:rsid w:val="000909EF"/>
    <w:rsid w:val="00091019"/>
    <w:rsid w:val="00095A5C"/>
    <w:rsid w:val="000A09DF"/>
    <w:rsid w:val="000A5390"/>
    <w:rsid w:val="000A62D5"/>
    <w:rsid w:val="000A7894"/>
    <w:rsid w:val="000B4F06"/>
    <w:rsid w:val="000C1914"/>
    <w:rsid w:val="000C2E7A"/>
    <w:rsid w:val="000D739B"/>
    <w:rsid w:val="000E4CFD"/>
    <w:rsid w:val="000F25E9"/>
    <w:rsid w:val="000F2792"/>
    <w:rsid w:val="000F7EA9"/>
    <w:rsid w:val="0010059F"/>
    <w:rsid w:val="001048DC"/>
    <w:rsid w:val="001102DB"/>
    <w:rsid w:val="00117595"/>
    <w:rsid w:val="00123ABC"/>
    <w:rsid w:val="00131D3E"/>
    <w:rsid w:val="00142A72"/>
    <w:rsid w:val="00143730"/>
    <w:rsid w:val="00144326"/>
    <w:rsid w:val="00145B18"/>
    <w:rsid w:val="001467EA"/>
    <w:rsid w:val="0015013B"/>
    <w:rsid w:val="00152107"/>
    <w:rsid w:val="00157810"/>
    <w:rsid w:val="001636F8"/>
    <w:rsid w:val="00166ED3"/>
    <w:rsid w:val="00170483"/>
    <w:rsid w:val="00173424"/>
    <w:rsid w:val="00173B9D"/>
    <w:rsid w:val="00175D92"/>
    <w:rsid w:val="00182953"/>
    <w:rsid w:val="0019334C"/>
    <w:rsid w:val="001962AC"/>
    <w:rsid w:val="0019632E"/>
    <w:rsid w:val="00196C36"/>
    <w:rsid w:val="001978DD"/>
    <w:rsid w:val="001A50BE"/>
    <w:rsid w:val="001A7941"/>
    <w:rsid w:val="001B12F8"/>
    <w:rsid w:val="001B45A6"/>
    <w:rsid w:val="001B60F9"/>
    <w:rsid w:val="001B7B1D"/>
    <w:rsid w:val="001E3888"/>
    <w:rsid w:val="001E398B"/>
    <w:rsid w:val="001E5789"/>
    <w:rsid w:val="001E739B"/>
    <w:rsid w:val="001E7812"/>
    <w:rsid w:val="001F0ECE"/>
    <w:rsid w:val="001F18EF"/>
    <w:rsid w:val="001F2162"/>
    <w:rsid w:val="001F2A12"/>
    <w:rsid w:val="001F2DC6"/>
    <w:rsid w:val="001F533F"/>
    <w:rsid w:val="00200B69"/>
    <w:rsid w:val="00214106"/>
    <w:rsid w:val="00216D05"/>
    <w:rsid w:val="0022162B"/>
    <w:rsid w:val="0022349B"/>
    <w:rsid w:val="0022349C"/>
    <w:rsid w:val="0022494E"/>
    <w:rsid w:val="002310FF"/>
    <w:rsid w:val="002333CF"/>
    <w:rsid w:val="002376D7"/>
    <w:rsid w:val="00241D68"/>
    <w:rsid w:val="00244E24"/>
    <w:rsid w:val="00245BC2"/>
    <w:rsid w:val="00246248"/>
    <w:rsid w:val="00255234"/>
    <w:rsid w:val="0026035D"/>
    <w:rsid w:val="00263649"/>
    <w:rsid w:val="00263C3C"/>
    <w:rsid w:val="00267C36"/>
    <w:rsid w:val="00274007"/>
    <w:rsid w:val="0027584D"/>
    <w:rsid w:val="00275FE5"/>
    <w:rsid w:val="002769D4"/>
    <w:rsid w:val="00276BBC"/>
    <w:rsid w:val="00287018"/>
    <w:rsid w:val="00287B82"/>
    <w:rsid w:val="002935E3"/>
    <w:rsid w:val="002A0BAD"/>
    <w:rsid w:val="002A1710"/>
    <w:rsid w:val="002A36EB"/>
    <w:rsid w:val="002B0A6A"/>
    <w:rsid w:val="002B42FD"/>
    <w:rsid w:val="002B4C8E"/>
    <w:rsid w:val="002B4D09"/>
    <w:rsid w:val="002B7C8C"/>
    <w:rsid w:val="002D0311"/>
    <w:rsid w:val="002D06DE"/>
    <w:rsid w:val="002D2966"/>
    <w:rsid w:val="002D2C2D"/>
    <w:rsid w:val="002D30F7"/>
    <w:rsid w:val="002D4D44"/>
    <w:rsid w:val="002D62EB"/>
    <w:rsid w:val="002E0425"/>
    <w:rsid w:val="002E3802"/>
    <w:rsid w:val="002E5240"/>
    <w:rsid w:val="002E6BA1"/>
    <w:rsid w:val="002E78DA"/>
    <w:rsid w:val="002E7C16"/>
    <w:rsid w:val="002F3968"/>
    <w:rsid w:val="00304137"/>
    <w:rsid w:val="00311FB5"/>
    <w:rsid w:val="00317E27"/>
    <w:rsid w:val="003222C7"/>
    <w:rsid w:val="0032685A"/>
    <w:rsid w:val="00326B9E"/>
    <w:rsid w:val="003321F7"/>
    <w:rsid w:val="00346F8D"/>
    <w:rsid w:val="00350C64"/>
    <w:rsid w:val="00355313"/>
    <w:rsid w:val="003603D4"/>
    <w:rsid w:val="00361797"/>
    <w:rsid w:val="003643AC"/>
    <w:rsid w:val="003662E6"/>
    <w:rsid w:val="00366C2F"/>
    <w:rsid w:val="0037022C"/>
    <w:rsid w:val="0037414F"/>
    <w:rsid w:val="0037576D"/>
    <w:rsid w:val="00377C98"/>
    <w:rsid w:val="00393AAF"/>
    <w:rsid w:val="00393B74"/>
    <w:rsid w:val="0039556F"/>
    <w:rsid w:val="003A12E3"/>
    <w:rsid w:val="003A4581"/>
    <w:rsid w:val="003A52C5"/>
    <w:rsid w:val="003A556D"/>
    <w:rsid w:val="003A68EC"/>
    <w:rsid w:val="003A7AEB"/>
    <w:rsid w:val="003B2EC1"/>
    <w:rsid w:val="003B4B6F"/>
    <w:rsid w:val="003B74E8"/>
    <w:rsid w:val="003B7D5C"/>
    <w:rsid w:val="003C27E4"/>
    <w:rsid w:val="003C365A"/>
    <w:rsid w:val="003C4ED0"/>
    <w:rsid w:val="003C7BEF"/>
    <w:rsid w:val="003D0A34"/>
    <w:rsid w:val="003E25B5"/>
    <w:rsid w:val="003E7C35"/>
    <w:rsid w:val="003F0155"/>
    <w:rsid w:val="003F6B4F"/>
    <w:rsid w:val="004034AB"/>
    <w:rsid w:val="00407307"/>
    <w:rsid w:val="0041137C"/>
    <w:rsid w:val="00416B51"/>
    <w:rsid w:val="00417496"/>
    <w:rsid w:val="004211F6"/>
    <w:rsid w:val="0043228C"/>
    <w:rsid w:val="004404E3"/>
    <w:rsid w:val="00444821"/>
    <w:rsid w:val="00445BB2"/>
    <w:rsid w:val="00445FCE"/>
    <w:rsid w:val="00447D56"/>
    <w:rsid w:val="00452AEC"/>
    <w:rsid w:val="0045696B"/>
    <w:rsid w:val="0046054A"/>
    <w:rsid w:val="00461B35"/>
    <w:rsid w:val="00465A76"/>
    <w:rsid w:val="00472C48"/>
    <w:rsid w:val="00476EC1"/>
    <w:rsid w:val="00477404"/>
    <w:rsid w:val="004A3C11"/>
    <w:rsid w:val="004B0163"/>
    <w:rsid w:val="004C10AC"/>
    <w:rsid w:val="004C2C44"/>
    <w:rsid w:val="004D377A"/>
    <w:rsid w:val="004D39FF"/>
    <w:rsid w:val="004D5F6A"/>
    <w:rsid w:val="004D699C"/>
    <w:rsid w:val="004D771E"/>
    <w:rsid w:val="004E1F14"/>
    <w:rsid w:val="004E206F"/>
    <w:rsid w:val="004E3818"/>
    <w:rsid w:val="004E6366"/>
    <w:rsid w:val="004F047F"/>
    <w:rsid w:val="004F3D18"/>
    <w:rsid w:val="004F6377"/>
    <w:rsid w:val="004F78D0"/>
    <w:rsid w:val="005013B1"/>
    <w:rsid w:val="005038D6"/>
    <w:rsid w:val="00512FE6"/>
    <w:rsid w:val="00521AC8"/>
    <w:rsid w:val="00522D5C"/>
    <w:rsid w:val="00523CE9"/>
    <w:rsid w:val="00534C28"/>
    <w:rsid w:val="0054231A"/>
    <w:rsid w:val="00542DF4"/>
    <w:rsid w:val="00550178"/>
    <w:rsid w:val="00551A2E"/>
    <w:rsid w:val="005563D3"/>
    <w:rsid w:val="00557224"/>
    <w:rsid w:val="00562A26"/>
    <w:rsid w:val="00564E06"/>
    <w:rsid w:val="00567043"/>
    <w:rsid w:val="00575D49"/>
    <w:rsid w:val="00577D53"/>
    <w:rsid w:val="00580C5B"/>
    <w:rsid w:val="00582157"/>
    <w:rsid w:val="00584902"/>
    <w:rsid w:val="00584B0B"/>
    <w:rsid w:val="00586DDC"/>
    <w:rsid w:val="00590DE0"/>
    <w:rsid w:val="00591013"/>
    <w:rsid w:val="00593F43"/>
    <w:rsid w:val="005A29C1"/>
    <w:rsid w:val="005A2A2F"/>
    <w:rsid w:val="005B1C35"/>
    <w:rsid w:val="005B5BFA"/>
    <w:rsid w:val="005B5C48"/>
    <w:rsid w:val="005C0DF1"/>
    <w:rsid w:val="005C4ED0"/>
    <w:rsid w:val="005C4FDD"/>
    <w:rsid w:val="005D0869"/>
    <w:rsid w:val="005D137D"/>
    <w:rsid w:val="005D5612"/>
    <w:rsid w:val="005D7885"/>
    <w:rsid w:val="005E157E"/>
    <w:rsid w:val="005E3F06"/>
    <w:rsid w:val="005E44E1"/>
    <w:rsid w:val="005E5696"/>
    <w:rsid w:val="005E797E"/>
    <w:rsid w:val="005F0117"/>
    <w:rsid w:val="005F2729"/>
    <w:rsid w:val="005F6699"/>
    <w:rsid w:val="00600397"/>
    <w:rsid w:val="006058C5"/>
    <w:rsid w:val="00607753"/>
    <w:rsid w:val="0061065D"/>
    <w:rsid w:val="00610B99"/>
    <w:rsid w:val="006168B7"/>
    <w:rsid w:val="00621962"/>
    <w:rsid w:val="006242C4"/>
    <w:rsid w:val="006262D0"/>
    <w:rsid w:val="0062723B"/>
    <w:rsid w:val="00631650"/>
    <w:rsid w:val="00632A55"/>
    <w:rsid w:val="006361F3"/>
    <w:rsid w:val="00637E14"/>
    <w:rsid w:val="006404A5"/>
    <w:rsid w:val="006440C8"/>
    <w:rsid w:val="00646938"/>
    <w:rsid w:val="006525DA"/>
    <w:rsid w:val="00653E59"/>
    <w:rsid w:val="00654D59"/>
    <w:rsid w:val="00662B7B"/>
    <w:rsid w:val="00662B7C"/>
    <w:rsid w:val="00670F78"/>
    <w:rsid w:val="0067136A"/>
    <w:rsid w:val="00676174"/>
    <w:rsid w:val="00676C80"/>
    <w:rsid w:val="00677C02"/>
    <w:rsid w:val="006872B2"/>
    <w:rsid w:val="006923DF"/>
    <w:rsid w:val="00692875"/>
    <w:rsid w:val="0069664A"/>
    <w:rsid w:val="006A0401"/>
    <w:rsid w:val="006A1EDD"/>
    <w:rsid w:val="006A4227"/>
    <w:rsid w:val="006A4BC4"/>
    <w:rsid w:val="006A64F8"/>
    <w:rsid w:val="006A6947"/>
    <w:rsid w:val="006A7492"/>
    <w:rsid w:val="006B099F"/>
    <w:rsid w:val="006B2C50"/>
    <w:rsid w:val="006B4F99"/>
    <w:rsid w:val="006B7C35"/>
    <w:rsid w:val="006C32CC"/>
    <w:rsid w:val="006C3A06"/>
    <w:rsid w:val="006C5980"/>
    <w:rsid w:val="006D20C5"/>
    <w:rsid w:val="006D26DB"/>
    <w:rsid w:val="006D2E3F"/>
    <w:rsid w:val="006E3121"/>
    <w:rsid w:val="006E7E53"/>
    <w:rsid w:val="006F1ED4"/>
    <w:rsid w:val="006F3892"/>
    <w:rsid w:val="006F56E1"/>
    <w:rsid w:val="00704DF2"/>
    <w:rsid w:val="00711C18"/>
    <w:rsid w:val="00712D51"/>
    <w:rsid w:val="00715DBD"/>
    <w:rsid w:val="00730664"/>
    <w:rsid w:val="00730A82"/>
    <w:rsid w:val="00737D14"/>
    <w:rsid w:val="007421C4"/>
    <w:rsid w:val="00747215"/>
    <w:rsid w:val="00747464"/>
    <w:rsid w:val="007474A3"/>
    <w:rsid w:val="00756942"/>
    <w:rsid w:val="007639F0"/>
    <w:rsid w:val="00763DDD"/>
    <w:rsid w:val="00770103"/>
    <w:rsid w:val="00772AF6"/>
    <w:rsid w:val="00777B40"/>
    <w:rsid w:val="00785D4A"/>
    <w:rsid w:val="0078678E"/>
    <w:rsid w:val="00787BAC"/>
    <w:rsid w:val="00787D27"/>
    <w:rsid w:val="0079052B"/>
    <w:rsid w:val="007918B0"/>
    <w:rsid w:val="00793808"/>
    <w:rsid w:val="00795ED2"/>
    <w:rsid w:val="007A12E8"/>
    <w:rsid w:val="007A4BAE"/>
    <w:rsid w:val="007A5824"/>
    <w:rsid w:val="007B1282"/>
    <w:rsid w:val="007B1340"/>
    <w:rsid w:val="007B2181"/>
    <w:rsid w:val="007B42EF"/>
    <w:rsid w:val="007C4767"/>
    <w:rsid w:val="007C628B"/>
    <w:rsid w:val="007E1DBD"/>
    <w:rsid w:val="007E37F3"/>
    <w:rsid w:val="007F3EEC"/>
    <w:rsid w:val="007F4550"/>
    <w:rsid w:val="00813750"/>
    <w:rsid w:val="00824F5C"/>
    <w:rsid w:val="00826254"/>
    <w:rsid w:val="00832748"/>
    <w:rsid w:val="00832926"/>
    <w:rsid w:val="008368ED"/>
    <w:rsid w:val="00842902"/>
    <w:rsid w:val="008469C1"/>
    <w:rsid w:val="00847D1B"/>
    <w:rsid w:val="00852274"/>
    <w:rsid w:val="008540F8"/>
    <w:rsid w:val="00856217"/>
    <w:rsid w:val="00856285"/>
    <w:rsid w:val="008611ED"/>
    <w:rsid w:val="00862284"/>
    <w:rsid w:val="0086465C"/>
    <w:rsid w:val="00865CCC"/>
    <w:rsid w:val="00871673"/>
    <w:rsid w:val="008745C2"/>
    <w:rsid w:val="00875EBE"/>
    <w:rsid w:val="008761EC"/>
    <w:rsid w:val="00880B2A"/>
    <w:rsid w:val="00882D46"/>
    <w:rsid w:val="00891713"/>
    <w:rsid w:val="00891FF5"/>
    <w:rsid w:val="008935D3"/>
    <w:rsid w:val="00893C9B"/>
    <w:rsid w:val="008A075F"/>
    <w:rsid w:val="008A6891"/>
    <w:rsid w:val="008A713B"/>
    <w:rsid w:val="008B0AAB"/>
    <w:rsid w:val="008B7C37"/>
    <w:rsid w:val="008C3D2B"/>
    <w:rsid w:val="008C576F"/>
    <w:rsid w:val="008C6D16"/>
    <w:rsid w:val="008C7C8C"/>
    <w:rsid w:val="008C7C9B"/>
    <w:rsid w:val="008D1329"/>
    <w:rsid w:val="008D2F94"/>
    <w:rsid w:val="008D48F1"/>
    <w:rsid w:val="008D7BB9"/>
    <w:rsid w:val="008F2F36"/>
    <w:rsid w:val="008F4374"/>
    <w:rsid w:val="008F4966"/>
    <w:rsid w:val="009006E1"/>
    <w:rsid w:val="0090243A"/>
    <w:rsid w:val="00905F5F"/>
    <w:rsid w:val="00906A09"/>
    <w:rsid w:val="00907E48"/>
    <w:rsid w:val="0091562D"/>
    <w:rsid w:val="00915EF2"/>
    <w:rsid w:val="00917FE6"/>
    <w:rsid w:val="009202F3"/>
    <w:rsid w:val="00925501"/>
    <w:rsid w:val="0092555E"/>
    <w:rsid w:val="009257D5"/>
    <w:rsid w:val="009266B9"/>
    <w:rsid w:val="00931A97"/>
    <w:rsid w:val="00933245"/>
    <w:rsid w:val="00941544"/>
    <w:rsid w:val="009534AE"/>
    <w:rsid w:val="00953F92"/>
    <w:rsid w:val="00954008"/>
    <w:rsid w:val="00954C51"/>
    <w:rsid w:val="0096186F"/>
    <w:rsid w:val="00961BD5"/>
    <w:rsid w:val="00962E98"/>
    <w:rsid w:val="009630F2"/>
    <w:rsid w:val="009633C2"/>
    <w:rsid w:val="00967B7F"/>
    <w:rsid w:val="009743BE"/>
    <w:rsid w:val="00976814"/>
    <w:rsid w:val="00980F10"/>
    <w:rsid w:val="009908EB"/>
    <w:rsid w:val="00992AA2"/>
    <w:rsid w:val="00994A82"/>
    <w:rsid w:val="0099515B"/>
    <w:rsid w:val="009A64C8"/>
    <w:rsid w:val="009B3C30"/>
    <w:rsid w:val="009B7FA3"/>
    <w:rsid w:val="009C5CA4"/>
    <w:rsid w:val="009C76AB"/>
    <w:rsid w:val="009D08FF"/>
    <w:rsid w:val="009D1C1F"/>
    <w:rsid w:val="009E5BC3"/>
    <w:rsid w:val="009F093C"/>
    <w:rsid w:val="009F0B5E"/>
    <w:rsid w:val="009F4572"/>
    <w:rsid w:val="00A01491"/>
    <w:rsid w:val="00A0222E"/>
    <w:rsid w:val="00A07B16"/>
    <w:rsid w:val="00A12B07"/>
    <w:rsid w:val="00A13614"/>
    <w:rsid w:val="00A16D71"/>
    <w:rsid w:val="00A22291"/>
    <w:rsid w:val="00A263BC"/>
    <w:rsid w:val="00A31657"/>
    <w:rsid w:val="00A323B6"/>
    <w:rsid w:val="00A352A1"/>
    <w:rsid w:val="00A37CCA"/>
    <w:rsid w:val="00A4600D"/>
    <w:rsid w:val="00A46430"/>
    <w:rsid w:val="00A51219"/>
    <w:rsid w:val="00A61E08"/>
    <w:rsid w:val="00A63493"/>
    <w:rsid w:val="00A63572"/>
    <w:rsid w:val="00A6519B"/>
    <w:rsid w:val="00A66291"/>
    <w:rsid w:val="00A66BA5"/>
    <w:rsid w:val="00A66C83"/>
    <w:rsid w:val="00A723B3"/>
    <w:rsid w:val="00A7700E"/>
    <w:rsid w:val="00A869E8"/>
    <w:rsid w:val="00A92795"/>
    <w:rsid w:val="00AA735F"/>
    <w:rsid w:val="00AA7E29"/>
    <w:rsid w:val="00AB252A"/>
    <w:rsid w:val="00AB31A3"/>
    <w:rsid w:val="00AD002A"/>
    <w:rsid w:val="00AD00AA"/>
    <w:rsid w:val="00AE3CB1"/>
    <w:rsid w:val="00AF066E"/>
    <w:rsid w:val="00B0012D"/>
    <w:rsid w:val="00B033E6"/>
    <w:rsid w:val="00B04284"/>
    <w:rsid w:val="00B1035E"/>
    <w:rsid w:val="00B10DF6"/>
    <w:rsid w:val="00B11B57"/>
    <w:rsid w:val="00B15D39"/>
    <w:rsid w:val="00B23D45"/>
    <w:rsid w:val="00B26EDC"/>
    <w:rsid w:val="00B3725D"/>
    <w:rsid w:val="00B37B76"/>
    <w:rsid w:val="00B47589"/>
    <w:rsid w:val="00B56C2A"/>
    <w:rsid w:val="00B56E31"/>
    <w:rsid w:val="00B6028C"/>
    <w:rsid w:val="00B637A7"/>
    <w:rsid w:val="00B67705"/>
    <w:rsid w:val="00B704E6"/>
    <w:rsid w:val="00B7164D"/>
    <w:rsid w:val="00B739D9"/>
    <w:rsid w:val="00B75159"/>
    <w:rsid w:val="00B75B29"/>
    <w:rsid w:val="00B84E08"/>
    <w:rsid w:val="00B95104"/>
    <w:rsid w:val="00B953EA"/>
    <w:rsid w:val="00B95EC8"/>
    <w:rsid w:val="00B96368"/>
    <w:rsid w:val="00B97D5B"/>
    <w:rsid w:val="00B97DF5"/>
    <w:rsid w:val="00BA0D2F"/>
    <w:rsid w:val="00BA285A"/>
    <w:rsid w:val="00BA3276"/>
    <w:rsid w:val="00BA65BE"/>
    <w:rsid w:val="00BB53E6"/>
    <w:rsid w:val="00BB6ED1"/>
    <w:rsid w:val="00BC325E"/>
    <w:rsid w:val="00BC37D1"/>
    <w:rsid w:val="00BC3B8C"/>
    <w:rsid w:val="00BC5410"/>
    <w:rsid w:val="00BC582C"/>
    <w:rsid w:val="00BD161D"/>
    <w:rsid w:val="00BD757A"/>
    <w:rsid w:val="00BD7811"/>
    <w:rsid w:val="00BE1981"/>
    <w:rsid w:val="00BE5228"/>
    <w:rsid w:val="00BF19B7"/>
    <w:rsid w:val="00BF32EF"/>
    <w:rsid w:val="00BF7746"/>
    <w:rsid w:val="00C02930"/>
    <w:rsid w:val="00C03C05"/>
    <w:rsid w:val="00C07401"/>
    <w:rsid w:val="00C10D0E"/>
    <w:rsid w:val="00C1452E"/>
    <w:rsid w:val="00C15E6E"/>
    <w:rsid w:val="00C2345D"/>
    <w:rsid w:val="00C247E3"/>
    <w:rsid w:val="00C3041E"/>
    <w:rsid w:val="00C3363B"/>
    <w:rsid w:val="00C34410"/>
    <w:rsid w:val="00C37714"/>
    <w:rsid w:val="00C37BB2"/>
    <w:rsid w:val="00C44643"/>
    <w:rsid w:val="00C520D3"/>
    <w:rsid w:val="00C52A42"/>
    <w:rsid w:val="00C53434"/>
    <w:rsid w:val="00C6357C"/>
    <w:rsid w:val="00C65203"/>
    <w:rsid w:val="00C70CEB"/>
    <w:rsid w:val="00C77AE7"/>
    <w:rsid w:val="00C80AD0"/>
    <w:rsid w:val="00C86753"/>
    <w:rsid w:val="00C91CC6"/>
    <w:rsid w:val="00C96168"/>
    <w:rsid w:val="00C966DC"/>
    <w:rsid w:val="00CA34E4"/>
    <w:rsid w:val="00CB1933"/>
    <w:rsid w:val="00CC21DD"/>
    <w:rsid w:val="00CD16E5"/>
    <w:rsid w:val="00CD320C"/>
    <w:rsid w:val="00CD7967"/>
    <w:rsid w:val="00CE17DC"/>
    <w:rsid w:val="00CF0376"/>
    <w:rsid w:val="00CF1B44"/>
    <w:rsid w:val="00CF79FF"/>
    <w:rsid w:val="00D025A6"/>
    <w:rsid w:val="00D036FC"/>
    <w:rsid w:val="00D04DC5"/>
    <w:rsid w:val="00D20DAB"/>
    <w:rsid w:val="00D24B21"/>
    <w:rsid w:val="00D26EC6"/>
    <w:rsid w:val="00D27829"/>
    <w:rsid w:val="00D27A7C"/>
    <w:rsid w:val="00D37F5A"/>
    <w:rsid w:val="00D416FF"/>
    <w:rsid w:val="00D45CB2"/>
    <w:rsid w:val="00D47FE3"/>
    <w:rsid w:val="00D6222A"/>
    <w:rsid w:val="00D65E7C"/>
    <w:rsid w:val="00D66743"/>
    <w:rsid w:val="00D75570"/>
    <w:rsid w:val="00D768E2"/>
    <w:rsid w:val="00D76D9C"/>
    <w:rsid w:val="00D80EBA"/>
    <w:rsid w:val="00D85F10"/>
    <w:rsid w:val="00DA2F6C"/>
    <w:rsid w:val="00DA4A6F"/>
    <w:rsid w:val="00DA59B8"/>
    <w:rsid w:val="00DB1AFD"/>
    <w:rsid w:val="00DB68F7"/>
    <w:rsid w:val="00DC416E"/>
    <w:rsid w:val="00DD32C0"/>
    <w:rsid w:val="00DD5959"/>
    <w:rsid w:val="00DD6461"/>
    <w:rsid w:val="00DD6B90"/>
    <w:rsid w:val="00DE27F5"/>
    <w:rsid w:val="00DE4A70"/>
    <w:rsid w:val="00DE695E"/>
    <w:rsid w:val="00DF0679"/>
    <w:rsid w:val="00DF2E82"/>
    <w:rsid w:val="00DF4737"/>
    <w:rsid w:val="00E0374A"/>
    <w:rsid w:val="00E05343"/>
    <w:rsid w:val="00E0545B"/>
    <w:rsid w:val="00E20915"/>
    <w:rsid w:val="00E224DE"/>
    <w:rsid w:val="00E26C9A"/>
    <w:rsid w:val="00E274C6"/>
    <w:rsid w:val="00E34D77"/>
    <w:rsid w:val="00E41605"/>
    <w:rsid w:val="00E44180"/>
    <w:rsid w:val="00E54155"/>
    <w:rsid w:val="00E574BB"/>
    <w:rsid w:val="00E7072E"/>
    <w:rsid w:val="00E74B2A"/>
    <w:rsid w:val="00E76801"/>
    <w:rsid w:val="00E8235D"/>
    <w:rsid w:val="00E84DEF"/>
    <w:rsid w:val="00E85BA4"/>
    <w:rsid w:val="00E87558"/>
    <w:rsid w:val="00E90B32"/>
    <w:rsid w:val="00E93B9A"/>
    <w:rsid w:val="00E97337"/>
    <w:rsid w:val="00EA0FB9"/>
    <w:rsid w:val="00EA1B04"/>
    <w:rsid w:val="00EA2555"/>
    <w:rsid w:val="00EB1334"/>
    <w:rsid w:val="00EB29E7"/>
    <w:rsid w:val="00EB379E"/>
    <w:rsid w:val="00EB7F3D"/>
    <w:rsid w:val="00EC0400"/>
    <w:rsid w:val="00EC513B"/>
    <w:rsid w:val="00EC55FA"/>
    <w:rsid w:val="00ED30B7"/>
    <w:rsid w:val="00ED45A1"/>
    <w:rsid w:val="00EE02A6"/>
    <w:rsid w:val="00EE12CC"/>
    <w:rsid w:val="00EE20CD"/>
    <w:rsid w:val="00EF17E3"/>
    <w:rsid w:val="00EF5586"/>
    <w:rsid w:val="00F05D7A"/>
    <w:rsid w:val="00F1000B"/>
    <w:rsid w:val="00F13257"/>
    <w:rsid w:val="00F14B0C"/>
    <w:rsid w:val="00F17116"/>
    <w:rsid w:val="00F208E3"/>
    <w:rsid w:val="00F25454"/>
    <w:rsid w:val="00F25A6A"/>
    <w:rsid w:val="00F31DF7"/>
    <w:rsid w:val="00F36486"/>
    <w:rsid w:val="00F4147D"/>
    <w:rsid w:val="00F51866"/>
    <w:rsid w:val="00F555A3"/>
    <w:rsid w:val="00F55815"/>
    <w:rsid w:val="00F67F12"/>
    <w:rsid w:val="00F73621"/>
    <w:rsid w:val="00F80AAD"/>
    <w:rsid w:val="00F80B2C"/>
    <w:rsid w:val="00F811B0"/>
    <w:rsid w:val="00F81CDE"/>
    <w:rsid w:val="00F864B0"/>
    <w:rsid w:val="00F96BEE"/>
    <w:rsid w:val="00FA2925"/>
    <w:rsid w:val="00FB14CA"/>
    <w:rsid w:val="00FB1629"/>
    <w:rsid w:val="00FC628D"/>
    <w:rsid w:val="00FC6584"/>
    <w:rsid w:val="00FC6857"/>
    <w:rsid w:val="00FD0175"/>
    <w:rsid w:val="00FD59D4"/>
    <w:rsid w:val="00FD70E7"/>
    <w:rsid w:val="00FD7757"/>
    <w:rsid w:val="00FE3F4A"/>
    <w:rsid w:val="00FE4577"/>
    <w:rsid w:val="00FE6938"/>
    <w:rsid w:val="00FE7C1F"/>
    <w:rsid w:val="00FF650A"/>
    <w:rsid w:val="00FF79A8"/>
    <w:rsid w:val="01AC2E25"/>
    <w:rsid w:val="01AE23D2"/>
    <w:rsid w:val="03C53FD2"/>
    <w:rsid w:val="092B7BC3"/>
    <w:rsid w:val="0A96708F"/>
    <w:rsid w:val="0E975BD2"/>
    <w:rsid w:val="0F8053D8"/>
    <w:rsid w:val="0FCC7CA9"/>
    <w:rsid w:val="0FCE1079"/>
    <w:rsid w:val="11326FB5"/>
    <w:rsid w:val="154C6291"/>
    <w:rsid w:val="171A73B4"/>
    <w:rsid w:val="17AB65BE"/>
    <w:rsid w:val="19C73F26"/>
    <w:rsid w:val="1ACD34E5"/>
    <w:rsid w:val="1B04533F"/>
    <w:rsid w:val="1DA7560F"/>
    <w:rsid w:val="1F030DFE"/>
    <w:rsid w:val="277C56BE"/>
    <w:rsid w:val="2A403AD3"/>
    <w:rsid w:val="2CBB6B1E"/>
    <w:rsid w:val="2D2E4B32"/>
    <w:rsid w:val="2F0B52F8"/>
    <w:rsid w:val="2F5F5ACC"/>
    <w:rsid w:val="30BD73D0"/>
    <w:rsid w:val="31971C27"/>
    <w:rsid w:val="31AA504A"/>
    <w:rsid w:val="31F747DF"/>
    <w:rsid w:val="35FB4470"/>
    <w:rsid w:val="37AA3EAD"/>
    <w:rsid w:val="38634D49"/>
    <w:rsid w:val="3C601127"/>
    <w:rsid w:val="3CB90495"/>
    <w:rsid w:val="3CF67750"/>
    <w:rsid w:val="419F1566"/>
    <w:rsid w:val="429479CA"/>
    <w:rsid w:val="43C54670"/>
    <w:rsid w:val="44D20A01"/>
    <w:rsid w:val="452C7202"/>
    <w:rsid w:val="45453B44"/>
    <w:rsid w:val="479859E7"/>
    <w:rsid w:val="4AA85A47"/>
    <w:rsid w:val="4AD8632C"/>
    <w:rsid w:val="51136310"/>
    <w:rsid w:val="521A02D6"/>
    <w:rsid w:val="53890A38"/>
    <w:rsid w:val="54B57DDC"/>
    <w:rsid w:val="58042EE9"/>
    <w:rsid w:val="58A02C26"/>
    <w:rsid w:val="592E7139"/>
    <w:rsid w:val="5ACE29BA"/>
    <w:rsid w:val="5DB3514D"/>
    <w:rsid w:val="5E0C0B2F"/>
    <w:rsid w:val="5FDB1B34"/>
    <w:rsid w:val="5FF27A39"/>
    <w:rsid w:val="61A3613F"/>
    <w:rsid w:val="628179C8"/>
    <w:rsid w:val="641A7AE2"/>
    <w:rsid w:val="651F7C3C"/>
    <w:rsid w:val="676C5E01"/>
    <w:rsid w:val="691E732C"/>
    <w:rsid w:val="6A581615"/>
    <w:rsid w:val="6B2F278A"/>
    <w:rsid w:val="6C8C31A9"/>
    <w:rsid w:val="6CEE4880"/>
    <w:rsid w:val="6E3463D1"/>
    <w:rsid w:val="704A0170"/>
    <w:rsid w:val="71C41072"/>
    <w:rsid w:val="772B46F4"/>
    <w:rsid w:val="798E3ED6"/>
    <w:rsid w:val="79A53BC9"/>
    <w:rsid w:val="7B6B7572"/>
    <w:rsid w:val="7D6E5868"/>
    <w:rsid w:val="7F402EF9"/>
    <w:rsid w:val="7F7C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6A69F53D-F012-41D1-B47D-6CDBD48A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kern w:val="0"/>
    </w:rPr>
  </w:style>
  <w:style w:type="paragraph" w:styleId="a4">
    <w:name w:val="Balloon Text"/>
    <w:basedOn w:val="a"/>
    <w:link w:val="Char0"/>
    <w:uiPriority w:val="99"/>
    <w:unhideWhenUsed/>
    <w:qFormat/>
    <w:rPr>
      <w:rFonts w:ascii="Heiti SC Light" w:eastAsia="Heiti SC Light"/>
      <w:kern w:val="0"/>
      <w:sz w:val="18"/>
      <w:szCs w:val="18"/>
    </w:rPr>
  </w:style>
  <w:style w:type="paragraph" w:styleId="a5">
    <w:name w:val="footer"/>
    <w:basedOn w:val="a"/>
    <w:link w:val="Char1"/>
    <w:uiPriority w:val="99"/>
    <w:unhideWhenUsed/>
    <w:qFormat/>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7">
    <w:name w:val="annotation subject"/>
    <w:basedOn w:val="a3"/>
    <w:next w:val="a3"/>
    <w:link w:val="Char3"/>
    <w:uiPriority w:val="99"/>
    <w:unhideWhenUsed/>
    <w:qFormat/>
    <w:rPr>
      <w:b/>
      <w:bCs/>
    </w:rPr>
  </w:style>
  <w:style w:type="character" w:styleId="a8">
    <w:name w:val="Hyperlink"/>
    <w:uiPriority w:val="99"/>
    <w:unhideWhenUsed/>
    <w:qFormat/>
    <w:rPr>
      <w:color w:val="0000FF"/>
      <w:u w:val="single"/>
    </w:rPr>
  </w:style>
  <w:style w:type="character" w:styleId="a9">
    <w:name w:val="annotation reference"/>
    <w:uiPriority w:val="99"/>
    <w:unhideWhenUsed/>
    <w:qFormat/>
    <w:rPr>
      <w:sz w:val="21"/>
      <w:szCs w:val="21"/>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Cambria" w:cs="宋体"/>
      <w:color w:val="000000"/>
      <w:sz w:val="24"/>
      <w:szCs w:val="24"/>
    </w:rPr>
  </w:style>
  <w:style w:type="character" w:customStyle="1" w:styleId="Char2">
    <w:name w:val="页眉 Char"/>
    <w:link w:val="a6"/>
    <w:uiPriority w:val="99"/>
    <w:qFormat/>
    <w:rPr>
      <w:sz w:val="18"/>
      <w:szCs w:val="18"/>
    </w:rPr>
  </w:style>
  <w:style w:type="character" w:customStyle="1" w:styleId="10">
    <w:name w:val="页眉字符1"/>
    <w:uiPriority w:val="99"/>
    <w:semiHidden/>
    <w:qFormat/>
    <w:rPr>
      <w:rFonts w:ascii="Times New Roman" w:eastAsia="宋体" w:hAnsi="Times New Roman" w:cs="Times New Roman"/>
      <w:sz w:val="18"/>
      <w:szCs w:val="18"/>
    </w:rPr>
  </w:style>
  <w:style w:type="character" w:customStyle="1" w:styleId="Char1">
    <w:name w:val="页脚 Char"/>
    <w:link w:val="a5"/>
    <w:uiPriority w:val="99"/>
    <w:qFormat/>
    <w:rPr>
      <w:rFonts w:ascii="Times New Roman" w:eastAsia="宋体" w:hAnsi="Times New Roman" w:cs="Times New Roman"/>
      <w:sz w:val="18"/>
      <w:szCs w:val="18"/>
    </w:rPr>
  </w:style>
  <w:style w:type="character" w:customStyle="1" w:styleId="Char0">
    <w:name w:val="批注框文本 Char"/>
    <w:link w:val="a4"/>
    <w:uiPriority w:val="99"/>
    <w:semiHidden/>
    <w:qFormat/>
    <w:rPr>
      <w:rFonts w:ascii="Heiti SC Light" w:eastAsia="Heiti SC Light" w:hAnsi="Times New Roman" w:cs="Times New Roman"/>
      <w:sz w:val="18"/>
      <w:szCs w:val="18"/>
    </w:rPr>
  </w:style>
  <w:style w:type="character" w:customStyle="1" w:styleId="Char">
    <w:name w:val="批注文字 Char"/>
    <w:link w:val="a3"/>
    <w:uiPriority w:val="99"/>
    <w:semiHidden/>
    <w:qFormat/>
    <w:rPr>
      <w:rFonts w:ascii="Times New Roman" w:eastAsia="宋体" w:hAnsi="Times New Roman" w:cs="Times New Roman"/>
      <w:sz w:val="21"/>
      <w:szCs w:val="20"/>
    </w:rPr>
  </w:style>
  <w:style w:type="character" w:customStyle="1" w:styleId="11">
    <w:name w:val="占位符文本1"/>
    <w:uiPriority w:val="99"/>
    <w:semiHidden/>
    <w:qFormat/>
    <w:rPr>
      <w:color w:val="808080"/>
    </w:rPr>
  </w:style>
  <w:style w:type="character" w:customStyle="1" w:styleId="Char3">
    <w:name w:val="批注主题 Char"/>
    <w:link w:val="a7"/>
    <w:uiPriority w:val="99"/>
    <w:semiHidden/>
    <w:qFormat/>
    <w:rPr>
      <w:rFonts w:ascii="Times New Roman" w:eastAsia="宋体" w:hAnsi="Times New Roman" w:cs="Times New Roman"/>
      <w:b/>
      <w:bCs/>
      <w:sz w:val="21"/>
      <w:szCs w:val="20"/>
    </w:rPr>
  </w:style>
  <w:style w:type="paragraph" w:customStyle="1" w:styleId="3">
    <w:name w:val="列出段落3"/>
    <w:basedOn w:val="a"/>
    <w:uiPriority w:val="34"/>
    <w:qFormat/>
    <w:pPr>
      <w:ind w:firstLineChars="200" w:firstLine="420"/>
    </w:pPr>
  </w:style>
  <w:style w:type="paragraph" w:customStyle="1" w:styleId="12">
    <w:name w:val="修订1"/>
    <w:hidden/>
    <w:uiPriority w:val="99"/>
    <w:semiHidden/>
    <w:qFormat/>
    <w:rPr>
      <w:kern w:val="2"/>
      <w:sz w:val="21"/>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tianj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C37D2-EF64-4B6E-9105-223EF5B1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1</dc:creator>
  <cp:lastModifiedBy>冯静雅</cp:lastModifiedBy>
  <cp:revision>29</cp:revision>
  <cp:lastPrinted>2022-03-31T02:13:00Z</cp:lastPrinted>
  <dcterms:created xsi:type="dcterms:W3CDTF">2020-03-13T05:47:00Z</dcterms:created>
  <dcterms:modified xsi:type="dcterms:W3CDTF">2022-04-02T11:53:00Z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000000000000000000000000000000000000000000000000000000000000000000000000000000000000000000000000000000000000000000000000000000000000000000000000000000000000000000000000000000000000000000000000000000000000000000000000000000000000000000000000000000000000000</vt:lpwstr>
  </property>
  <property fmtid="{D5CDD505-2E9C-101B-9397-08002B2CF9AE}" pid="3" name="KSOProductBuildVer">
    <vt:lpwstr>2052-11.1.0.11294</vt:lpwstr>
  </property>
  <property fmtid="{D5CDD505-2E9C-101B-9397-08002B2CF9AE}" pid="4" name="ICV">
    <vt:lpwstr>02B7431584F84587BF466845AFE733E0</vt:lpwstr>
  </property>
</Properties>
</file>